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文字解读</w:t>
      </w:r>
      <w:r>
        <w:rPr>
          <w:rFonts w:hint="eastAsia" w:ascii="仿宋_GB2312" w:hAnsi="仿宋_GB2312" w:eastAsia="仿宋_GB2312" w:cs="仿宋_GB2312"/>
          <w:sz w:val="32"/>
          <w:szCs w:val="32"/>
          <w:lang w:eastAsia="zh-CN"/>
        </w:rPr>
        <w:t>】</w:t>
      </w:r>
    </w:p>
    <w:p>
      <w:pPr>
        <w:pStyle w:val="2"/>
        <w:keepNext w:val="0"/>
        <w:keepLines w:val="0"/>
        <w:pageBreakBefore w:val="0"/>
        <w:widowControl w:val="0"/>
        <w:kinsoku/>
        <w:overflowPunct/>
        <w:autoSpaceDE/>
        <w:autoSpaceDN/>
        <w:bidi w:val="0"/>
        <w:adjustRightInd/>
        <w:snapToGrid/>
        <w:spacing w:line="560" w:lineRule="exact"/>
        <w:jc w:val="both"/>
        <w:textAlignment w:val="auto"/>
        <w:rPr>
          <w:rFonts w:hint="eastAsia"/>
          <w:lang w:eastAsia="zh-CN"/>
        </w:rPr>
      </w:pPr>
    </w:p>
    <w:p>
      <w:pPr>
        <w:keepNext w:val="0"/>
        <w:keepLines w:val="0"/>
        <w:pageBreakBefore w:val="0"/>
        <w:widowControl w:val="0"/>
        <w:kinsoku/>
        <w:wordWrap w:val="0"/>
        <w:overflowPunct/>
        <w:topLinePunct/>
        <w:autoSpaceDE/>
        <w:autoSpaceDN/>
        <w:bidi w:val="0"/>
        <w:adjustRightInd/>
        <w:snapToGrid/>
        <w:spacing w:line="560" w:lineRule="exact"/>
        <w:ind w:left="0" w:leftChars="0" w:firstLine="0" w:firstLineChars="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关于《</w:t>
      </w:r>
      <w:r>
        <w:rPr>
          <w:rFonts w:hint="eastAsia" w:ascii="方正小标宋简体" w:hAnsi="方正小标宋简体" w:eastAsia="方正小标宋简体" w:cs="方正小标宋简体"/>
          <w:sz w:val="44"/>
          <w:szCs w:val="44"/>
        </w:rPr>
        <w:t>越秀区基层中医药服务能力提升工程</w:t>
      </w:r>
    </w:p>
    <w:p>
      <w:pPr>
        <w:keepNext w:val="0"/>
        <w:keepLines w:val="0"/>
        <w:pageBreakBefore w:val="0"/>
        <w:widowControl w:val="0"/>
        <w:kinsoku/>
        <w:wordWrap w:val="0"/>
        <w:overflowPunct/>
        <w:topLinePunct/>
        <w:autoSpaceDE/>
        <w:autoSpaceDN/>
        <w:bidi w:val="0"/>
        <w:adjustRightInd/>
        <w:snapToGrid/>
        <w:spacing w:line="560" w:lineRule="exact"/>
        <w:ind w:left="0" w:leftChars="0" w:firstLine="0" w:firstLineChars="0"/>
        <w:jc w:val="center"/>
        <w:textAlignment w:val="auto"/>
        <w:rPr>
          <w:rFonts w:hint="default" w:ascii="方正小标宋简体" w:hAnsi="方正小标宋简体" w:eastAsia="方正小标宋简体" w:cs="方正小标宋简体"/>
          <w:sz w:val="44"/>
          <w:szCs w:val="44"/>
          <w:lang w:val="en-US"/>
        </w:rPr>
      </w:pPr>
      <w:r>
        <w:rPr>
          <w:rFonts w:hint="eastAsia" w:ascii="方正小标宋简体" w:hAnsi="方正小标宋简体" w:eastAsia="方正小标宋简体" w:cs="方正小标宋简体"/>
          <w:sz w:val="44"/>
          <w:szCs w:val="44"/>
        </w:rPr>
        <w:t>“十四五”行动计划实施方案</w:t>
      </w:r>
      <w:r>
        <w:rPr>
          <w:rFonts w:hint="eastAsia" w:ascii="方正小标宋简体" w:hAnsi="方正小标宋简体" w:eastAsia="方正小标宋简体" w:cs="方正小标宋简体"/>
          <w:sz w:val="44"/>
          <w:szCs w:val="44"/>
          <w:lang w:val="en-US" w:eastAsia="zh-CN"/>
        </w:rPr>
        <w:t>》的政策解读</w:t>
      </w:r>
    </w:p>
    <w:p>
      <w:pPr>
        <w:keepNext w:val="0"/>
        <w:keepLines w:val="0"/>
        <w:pageBreakBefore w:val="0"/>
        <w:widowControl w:val="0"/>
        <w:kinsoku/>
        <w:wordWrap w:val="0"/>
        <w:overflowPunct/>
        <w:topLinePunct/>
        <w:autoSpaceDE/>
        <w:autoSpaceDN/>
        <w:bidi w:val="0"/>
        <w:adjustRightInd/>
        <w:snapToGrid/>
        <w:spacing w:line="560" w:lineRule="exact"/>
        <w:ind w:left="0" w:leftChars="0" w:firstLine="0" w:firstLineChars="0"/>
        <w:jc w:val="both"/>
        <w:textAlignment w:val="auto"/>
        <w:rPr>
          <w:rFonts w:hint="eastAsia"/>
          <w:lang w:val="en-US" w:eastAsia="zh-CN"/>
        </w:rPr>
      </w:pPr>
    </w:p>
    <w:p>
      <w:pPr>
        <w:keepNext w:val="0"/>
        <w:keepLines w:val="0"/>
        <w:pageBreakBefore w:val="0"/>
        <w:widowControl w:val="0"/>
        <w:kinsoku/>
        <w:wordWrap w:val="0"/>
        <w:overflowPunct/>
        <w:topLinePunct/>
        <w:autoSpaceDE/>
        <w:autoSpaceDN/>
        <w:bidi w:val="0"/>
        <w:adjustRightInd/>
        <w:snapToGrid/>
        <w:spacing w:line="560" w:lineRule="exact"/>
        <w:ind w:left="0" w:leftChars="0" w:firstLine="640" w:firstLineChars="200"/>
        <w:jc w:val="both"/>
        <w:textAlignment w:val="auto"/>
        <w:rPr>
          <w:rFonts w:hint="eastAsia" w:ascii="黑体" w:hAnsi="黑体" w:eastAsia="黑体"/>
          <w:color w:val="auto"/>
          <w:sz w:val="32"/>
          <w:szCs w:val="32"/>
        </w:rPr>
      </w:pPr>
      <w:r>
        <w:rPr>
          <w:rFonts w:hint="eastAsia" w:ascii="黑体" w:hAnsi="黑体" w:eastAsia="黑体"/>
          <w:color w:val="auto"/>
          <w:sz w:val="32"/>
          <w:szCs w:val="32"/>
          <w:lang w:val="en-US" w:eastAsia="zh-CN"/>
        </w:rPr>
        <w:t>一、</w:t>
      </w:r>
      <w:r>
        <w:rPr>
          <w:rFonts w:hint="eastAsia" w:ascii="黑体" w:hAnsi="黑体" w:eastAsia="黑体"/>
          <w:color w:val="auto"/>
          <w:sz w:val="32"/>
          <w:szCs w:val="32"/>
        </w:rPr>
        <w:t>指导思想</w:t>
      </w:r>
    </w:p>
    <w:p>
      <w:pPr>
        <w:keepNext w:val="0"/>
        <w:keepLines w:val="0"/>
        <w:pageBreakBefore w:val="0"/>
        <w:widowControl w:val="0"/>
        <w:kinsoku/>
        <w:wordWrap w:val="0"/>
        <w:overflowPunct/>
        <w:topLinePunct/>
        <w:autoSpaceDE/>
        <w:autoSpaceDN/>
        <w:bidi w:val="0"/>
        <w:adjustRightInd/>
        <w:snapToGrid/>
        <w:spacing w:line="560" w:lineRule="exact"/>
        <w:ind w:left="0" w:leftChars="0" w:firstLine="640" w:firstLineChars="200"/>
        <w:jc w:val="both"/>
        <w:textAlignment w:val="auto"/>
        <w:rPr>
          <w:rFonts w:ascii="Times New Roman" w:hAnsi="Times New Roman" w:eastAsia="仿宋_GB2312"/>
          <w:color w:val="auto"/>
          <w:sz w:val="32"/>
          <w:szCs w:val="32"/>
        </w:rPr>
      </w:pPr>
      <w:r>
        <w:rPr>
          <w:rFonts w:ascii="Times New Roman" w:hAnsi="Times New Roman" w:eastAsia="仿宋_GB2312"/>
          <w:color w:val="auto"/>
          <w:sz w:val="32"/>
          <w:szCs w:val="32"/>
        </w:rPr>
        <w:t>以习近平新时代中国特色社会主义思想为指导，深入贯彻党的二十大精神</w:t>
      </w:r>
      <w:r>
        <w:rPr>
          <w:rFonts w:hint="eastAsia" w:ascii="Times New Roman" w:hAnsi="Times New Roman" w:eastAsia="仿宋_GB2312"/>
          <w:color w:val="auto"/>
          <w:sz w:val="32"/>
          <w:szCs w:val="32"/>
        </w:rPr>
        <w:t>和</w:t>
      </w:r>
      <w:r>
        <w:rPr>
          <w:rFonts w:ascii="Times New Roman" w:hAnsi="Times New Roman" w:eastAsia="仿宋_GB2312"/>
          <w:color w:val="auto"/>
          <w:sz w:val="32"/>
          <w:szCs w:val="32"/>
        </w:rPr>
        <w:t>习近平总书记关于中医药工作的重要论述，落实新时期卫生健康工作方针和国家</w:t>
      </w:r>
      <w:r>
        <w:rPr>
          <w:rFonts w:hint="eastAsia" w:ascii="Times New Roman" w:hAnsi="Times New Roman" w:eastAsia="仿宋_GB2312"/>
          <w:color w:val="auto"/>
          <w:sz w:val="32"/>
          <w:szCs w:val="32"/>
        </w:rPr>
        <w:t>、</w:t>
      </w:r>
      <w:r>
        <w:rPr>
          <w:rFonts w:ascii="Times New Roman" w:hAnsi="Times New Roman" w:eastAsia="仿宋_GB2312"/>
          <w:color w:val="auto"/>
          <w:sz w:val="32"/>
          <w:szCs w:val="32"/>
        </w:rPr>
        <w:t>省</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lang w:val="en-US" w:eastAsia="zh-CN"/>
        </w:rPr>
        <w:t>市</w:t>
      </w:r>
      <w:r>
        <w:rPr>
          <w:rFonts w:ascii="Times New Roman" w:hAnsi="Times New Roman" w:eastAsia="仿宋_GB2312"/>
          <w:color w:val="auto"/>
          <w:sz w:val="32"/>
          <w:szCs w:val="32"/>
        </w:rPr>
        <w:t>关于中医药传承创新发展的政策措施</w:t>
      </w:r>
      <w:r>
        <w:rPr>
          <w:rFonts w:hint="eastAsia" w:ascii="Times New Roman" w:hAnsi="Times New Roman" w:eastAsia="仿宋_GB2312"/>
          <w:color w:val="auto"/>
          <w:sz w:val="32"/>
          <w:szCs w:val="32"/>
        </w:rPr>
        <w:t>，</w:t>
      </w:r>
      <w:r>
        <w:rPr>
          <w:rFonts w:ascii="Times New Roman" w:hAnsi="Times New Roman" w:eastAsia="仿宋_GB2312"/>
          <w:color w:val="auto"/>
          <w:sz w:val="32"/>
          <w:szCs w:val="32"/>
        </w:rPr>
        <w:t>坚持以人民健康为中心</w:t>
      </w:r>
      <w:r>
        <w:rPr>
          <w:rFonts w:hint="eastAsia" w:ascii="Times New Roman" w:hAnsi="Times New Roman" w:eastAsia="仿宋_GB2312"/>
          <w:color w:val="auto"/>
          <w:sz w:val="32"/>
          <w:szCs w:val="32"/>
        </w:rPr>
        <w:t>，</w:t>
      </w:r>
      <w:r>
        <w:rPr>
          <w:rFonts w:ascii="Times New Roman" w:hAnsi="Times New Roman" w:eastAsia="仿宋_GB2312"/>
          <w:color w:val="auto"/>
          <w:sz w:val="32"/>
          <w:szCs w:val="32"/>
        </w:rPr>
        <w:t>按照</w:t>
      </w:r>
      <w:r>
        <w:rPr>
          <w:rFonts w:hint="eastAsia" w:ascii="Times New Roman" w:hAnsi="Times New Roman" w:eastAsia="仿宋_GB2312"/>
          <w:color w:val="auto"/>
          <w:sz w:val="32"/>
          <w:szCs w:val="32"/>
          <w:lang w:val="en-US" w:eastAsia="zh-CN"/>
        </w:rPr>
        <w:t>区</w:t>
      </w:r>
      <w:r>
        <w:rPr>
          <w:rFonts w:ascii="Times New Roman" w:hAnsi="Times New Roman" w:eastAsia="仿宋_GB2312"/>
          <w:color w:val="auto"/>
          <w:sz w:val="32"/>
          <w:szCs w:val="32"/>
        </w:rPr>
        <w:t>委</w:t>
      </w:r>
      <w:r>
        <w:rPr>
          <w:rFonts w:hint="eastAsia" w:ascii="Times New Roman" w:hAnsi="Times New Roman" w:eastAsia="仿宋_GB2312"/>
          <w:color w:val="auto"/>
          <w:sz w:val="32"/>
          <w:szCs w:val="32"/>
          <w:lang w:val="en-US" w:eastAsia="zh-CN"/>
        </w:rPr>
        <w:t>区</w:t>
      </w:r>
      <w:r>
        <w:rPr>
          <w:rFonts w:ascii="Times New Roman" w:hAnsi="Times New Roman" w:eastAsia="仿宋_GB2312"/>
          <w:color w:val="auto"/>
          <w:sz w:val="32"/>
          <w:szCs w:val="32"/>
        </w:rPr>
        <w:t>政府工作部署</w:t>
      </w:r>
      <w:r>
        <w:rPr>
          <w:rFonts w:hint="eastAsia" w:ascii="Times New Roman" w:hAnsi="Times New Roman" w:eastAsia="仿宋_GB2312"/>
          <w:color w:val="auto"/>
          <w:sz w:val="32"/>
          <w:szCs w:val="32"/>
        </w:rPr>
        <w:t>，</w:t>
      </w:r>
      <w:r>
        <w:rPr>
          <w:rFonts w:ascii="Times New Roman" w:hAnsi="Times New Roman" w:eastAsia="仿宋_GB2312"/>
          <w:color w:val="auto"/>
          <w:sz w:val="32"/>
          <w:szCs w:val="32"/>
        </w:rPr>
        <w:t>推动基层中医药事业高质量发展，全面提升基层中医药在治未病、医疗、康复、公共卫生、健康教育等领域的服务能力，持续提高基层中医药服务的可及性、便捷性、公平性，增强群众对中医药的获得感和满意度，为实施健康</w:t>
      </w:r>
      <w:r>
        <w:rPr>
          <w:rFonts w:hint="eastAsia" w:ascii="Times New Roman" w:hAnsi="Times New Roman" w:eastAsia="仿宋_GB2312"/>
          <w:color w:val="auto"/>
          <w:sz w:val="32"/>
          <w:szCs w:val="32"/>
          <w:lang w:val="en-US" w:eastAsia="zh-CN"/>
        </w:rPr>
        <w:t>越秀</w:t>
      </w:r>
      <w:r>
        <w:rPr>
          <w:rFonts w:ascii="Times New Roman" w:hAnsi="Times New Roman" w:eastAsia="仿宋_GB2312"/>
          <w:color w:val="auto"/>
          <w:sz w:val="32"/>
          <w:szCs w:val="32"/>
        </w:rPr>
        <w:t>做出新贡献。</w:t>
      </w:r>
    </w:p>
    <w:p>
      <w:pPr>
        <w:keepNext w:val="0"/>
        <w:keepLines w:val="0"/>
        <w:pageBreakBefore w:val="0"/>
        <w:widowControl w:val="0"/>
        <w:kinsoku/>
        <w:wordWrap w:val="0"/>
        <w:overflowPunct/>
        <w:topLinePunct/>
        <w:autoSpaceDE/>
        <w:autoSpaceDN/>
        <w:bidi w:val="0"/>
        <w:adjustRightInd/>
        <w:snapToGrid/>
        <w:spacing w:line="560" w:lineRule="exact"/>
        <w:ind w:left="0" w:leftChars="0" w:firstLine="640" w:firstLineChars="200"/>
        <w:jc w:val="both"/>
        <w:textAlignment w:val="auto"/>
        <w:rPr>
          <w:rFonts w:hint="eastAsia" w:ascii="Times New Roman" w:hAnsi="Times New Roman" w:eastAsia="黑体"/>
          <w:color w:val="auto"/>
          <w:sz w:val="32"/>
          <w:szCs w:val="32"/>
        </w:rPr>
      </w:pPr>
      <w:r>
        <w:rPr>
          <w:rFonts w:hint="eastAsia" w:ascii="Times New Roman" w:hAnsi="Times New Roman" w:eastAsia="黑体"/>
          <w:color w:val="auto"/>
          <w:sz w:val="32"/>
          <w:szCs w:val="32"/>
          <w:lang w:val="en-US" w:eastAsia="zh-CN"/>
        </w:rPr>
        <w:t>二、</w:t>
      </w:r>
      <w:r>
        <w:rPr>
          <w:rFonts w:hint="eastAsia" w:ascii="Times New Roman" w:hAnsi="Times New Roman" w:eastAsia="黑体"/>
          <w:color w:val="auto"/>
          <w:sz w:val="32"/>
          <w:szCs w:val="32"/>
        </w:rPr>
        <w:t>主要目标</w:t>
      </w:r>
    </w:p>
    <w:p>
      <w:pPr>
        <w:keepNext w:val="0"/>
        <w:keepLines w:val="0"/>
        <w:pageBreakBefore w:val="0"/>
        <w:widowControl w:val="0"/>
        <w:kinsoku/>
        <w:wordWrap w:val="0"/>
        <w:overflowPunct/>
        <w:topLinePunct/>
        <w:autoSpaceDE/>
        <w:autoSpaceDN/>
        <w:bidi w:val="0"/>
        <w:adjustRightInd/>
        <w:snapToGrid/>
        <w:spacing w:line="560" w:lineRule="exact"/>
        <w:ind w:left="0" w:leftChars="0" w:firstLine="640" w:firstLineChars="200"/>
        <w:jc w:val="both"/>
        <w:textAlignment w:val="auto"/>
        <w:rPr>
          <w:rFonts w:hint="eastAsia" w:ascii="Times New Roman" w:hAnsi="Times New Roman" w:eastAsia="仿宋_GB2312" w:cs="仿宋_GB2312"/>
          <w:b/>
          <w:bCs/>
          <w:color w:val="auto"/>
          <w:sz w:val="32"/>
          <w:szCs w:val="32"/>
          <w:lang w:eastAsia="zh-CN"/>
        </w:rPr>
      </w:pPr>
      <w:r>
        <w:rPr>
          <w:rFonts w:hint="eastAsia" w:ascii="Times New Roman" w:hAnsi="Times New Roman" w:eastAsia="仿宋_GB2312" w:cs="仿宋_GB2312"/>
          <w:b w:val="0"/>
          <w:bCs w:val="0"/>
          <w:color w:val="auto"/>
          <w:sz w:val="32"/>
          <w:szCs w:val="32"/>
          <w:lang w:val="en-US" w:eastAsia="zh-CN"/>
        </w:rPr>
        <w:t>到</w:t>
      </w:r>
      <w:r>
        <w:rPr>
          <w:rFonts w:hint="eastAsia" w:ascii="Times New Roman" w:hAnsi="Times New Roman" w:eastAsia="仿宋_GB2312" w:cs="仿宋_GB2312"/>
          <w:b w:val="0"/>
          <w:bCs w:val="0"/>
          <w:color w:val="auto"/>
          <w:sz w:val="32"/>
          <w:szCs w:val="32"/>
        </w:rPr>
        <w:t>2025年</w:t>
      </w:r>
      <w:r>
        <w:rPr>
          <w:rFonts w:hint="eastAsia" w:ascii="Times New Roman" w:hAnsi="Times New Roman" w:eastAsia="仿宋_GB2312" w:cs="仿宋_GB2312"/>
          <w:b w:val="0"/>
          <w:bCs w:val="0"/>
          <w:color w:val="auto"/>
          <w:sz w:val="32"/>
          <w:szCs w:val="32"/>
          <w:lang w:eastAsia="zh-CN"/>
        </w:rPr>
        <w:t>，</w:t>
      </w:r>
    </w:p>
    <w:p>
      <w:pPr>
        <w:keepNext w:val="0"/>
        <w:keepLines w:val="0"/>
        <w:pageBreakBefore w:val="0"/>
        <w:widowControl w:val="0"/>
        <w:kinsoku/>
        <w:wordWrap w:val="0"/>
        <w:overflowPunct/>
        <w:topLinePunct/>
        <w:autoSpaceDE/>
        <w:autoSpaceDN/>
        <w:bidi w:val="0"/>
        <w:adjustRightInd/>
        <w:snapToGrid/>
        <w:spacing w:line="560" w:lineRule="exact"/>
        <w:ind w:left="0" w:leftChars="0" w:firstLine="640" w:firstLineChars="200"/>
        <w:jc w:val="both"/>
        <w:textAlignment w:val="auto"/>
        <w:rPr>
          <w:rFonts w:hint="eastAsia" w:ascii="楷体_GB2312" w:hAnsi="楷体_GB2312" w:eastAsia="楷体_GB2312" w:cs="楷体_GB2312"/>
          <w:b w:val="0"/>
          <w:bCs w:val="0"/>
          <w:color w:val="auto"/>
          <w:sz w:val="32"/>
          <w:szCs w:val="32"/>
        </w:rPr>
      </w:pPr>
      <w:r>
        <w:rPr>
          <w:rFonts w:hint="eastAsia" w:ascii="楷体_GB2312" w:hAnsi="楷体_GB2312" w:eastAsia="楷体_GB2312" w:cs="楷体_GB2312"/>
          <w:b w:val="0"/>
          <w:bCs w:val="0"/>
          <w:color w:val="auto"/>
          <w:sz w:val="32"/>
          <w:szCs w:val="32"/>
          <w:lang w:eastAsia="zh-CN"/>
        </w:rPr>
        <w:t>（</w:t>
      </w:r>
      <w:r>
        <w:rPr>
          <w:rFonts w:hint="eastAsia" w:ascii="楷体_GB2312" w:hAnsi="楷体_GB2312" w:eastAsia="楷体_GB2312" w:cs="楷体_GB2312"/>
          <w:b w:val="0"/>
          <w:bCs w:val="0"/>
          <w:color w:val="auto"/>
          <w:sz w:val="32"/>
          <w:szCs w:val="32"/>
          <w:lang w:val="en-US" w:eastAsia="zh-CN"/>
        </w:rPr>
        <w:t>一</w:t>
      </w:r>
      <w:r>
        <w:rPr>
          <w:rFonts w:hint="eastAsia" w:ascii="楷体_GB2312" w:hAnsi="楷体_GB2312" w:eastAsia="楷体_GB2312" w:cs="楷体_GB2312"/>
          <w:b w:val="0"/>
          <w:bCs w:val="0"/>
          <w:color w:val="auto"/>
          <w:sz w:val="32"/>
          <w:szCs w:val="32"/>
          <w:lang w:eastAsia="zh-CN"/>
        </w:rPr>
        <w:t>）</w:t>
      </w:r>
      <w:r>
        <w:rPr>
          <w:rFonts w:hint="eastAsia" w:ascii="楷体_GB2312" w:hAnsi="楷体_GB2312" w:eastAsia="楷体_GB2312" w:cs="楷体_GB2312"/>
          <w:b w:val="0"/>
          <w:bCs w:val="0"/>
          <w:color w:val="auto"/>
          <w:sz w:val="32"/>
          <w:szCs w:val="32"/>
        </w:rPr>
        <w:t>基层中医药服务体系（内涵建设）更加完善。</w:t>
      </w:r>
    </w:p>
    <w:p>
      <w:pPr>
        <w:keepNext w:val="0"/>
        <w:keepLines w:val="0"/>
        <w:pageBreakBefore w:val="0"/>
        <w:widowControl w:val="0"/>
        <w:kinsoku/>
        <w:wordWrap w:val="0"/>
        <w:overflowPunct/>
        <w:topLinePunct/>
        <w:autoSpaceDE/>
        <w:autoSpaceDN/>
        <w:bidi w:val="0"/>
        <w:adjustRightInd/>
        <w:snapToGrid/>
        <w:spacing w:line="560" w:lineRule="exact"/>
        <w:ind w:left="0" w:leftChars="0" w:firstLine="643" w:firstLineChars="200"/>
        <w:jc w:val="both"/>
        <w:textAlignment w:val="auto"/>
        <w:rPr>
          <w:rFonts w:hint="eastAsia" w:ascii="Times New Roman" w:hAnsi="Times New Roman" w:eastAsia="仿宋_GB2312" w:cs="仿宋_GB2312"/>
          <w:color w:val="auto"/>
          <w:sz w:val="32"/>
          <w:szCs w:val="32"/>
          <w:lang w:eastAsia="zh-CN"/>
        </w:rPr>
      </w:pPr>
      <w:r>
        <w:rPr>
          <w:rFonts w:hint="eastAsia" w:ascii="Times New Roman" w:hAnsi="Times New Roman" w:eastAsia="仿宋_GB2312" w:cs="仿宋_GB2312"/>
          <w:b/>
          <w:bCs/>
          <w:color w:val="auto"/>
          <w:sz w:val="32"/>
          <w:szCs w:val="32"/>
          <w:lang w:val="en-US" w:eastAsia="zh-CN"/>
        </w:rPr>
        <w:t>一是</w:t>
      </w:r>
      <w:r>
        <w:rPr>
          <w:rFonts w:hint="eastAsia" w:ascii="Times New Roman" w:hAnsi="Times New Roman" w:eastAsia="仿宋_GB2312" w:cs="仿宋_GB2312"/>
          <w:b w:val="0"/>
          <w:bCs w:val="0"/>
          <w:color w:val="auto"/>
          <w:sz w:val="32"/>
          <w:szCs w:val="32"/>
          <w:lang w:val="en-US" w:eastAsia="zh-CN"/>
        </w:rPr>
        <w:t>越秀</w:t>
      </w:r>
      <w:r>
        <w:rPr>
          <w:rFonts w:hint="eastAsia" w:ascii="Times New Roman" w:hAnsi="Times New Roman" w:eastAsia="仿宋_GB2312" w:cs="仿宋_GB2312"/>
          <w:color w:val="auto"/>
          <w:sz w:val="32"/>
          <w:szCs w:val="32"/>
          <w:lang w:val="en-US" w:eastAsia="zh-CN"/>
        </w:rPr>
        <w:t>区中医医院</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color w:val="auto"/>
          <w:sz w:val="32"/>
          <w:szCs w:val="32"/>
          <w:lang w:val="en-US" w:eastAsia="zh-CN"/>
        </w:rPr>
        <w:t>广州市正骨医院按照三级医院标准建设；</w:t>
      </w:r>
      <w:r>
        <w:rPr>
          <w:rFonts w:hint="eastAsia" w:ascii="Times New Roman" w:hAnsi="Times New Roman" w:eastAsia="仿宋_GB2312" w:cs="仿宋_GB2312"/>
          <w:b/>
          <w:bCs/>
          <w:color w:val="auto"/>
          <w:sz w:val="32"/>
          <w:szCs w:val="32"/>
          <w:lang w:val="en-US" w:eastAsia="zh-CN"/>
        </w:rPr>
        <w:t>二是</w:t>
      </w:r>
      <w:r>
        <w:rPr>
          <w:rFonts w:ascii="Times New Roman" w:hAnsi="Times New Roman" w:eastAsia="仿宋_GB2312" w:cs="仿宋_GB2312"/>
          <w:color w:val="auto"/>
          <w:sz w:val="32"/>
          <w:szCs w:val="32"/>
        </w:rPr>
        <w:t>100%</w:t>
      </w:r>
      <w:r>
        <w:rPr>
          <w:rFonts w:hint="eastAsia" w:ascii="Times New Roman" w:hAnsi="Times New Roman" w:eastAsia="仿宋_GB2312" w:cs="仿宋_GB2312"/>
          <w:color w:val="auto"/>
          <w:sz w:val="32"/>
          <w:szCs w:val="32"/>
        </w:rPr>
        <w:t>的社区卫生服务中心设置中医馆</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b/>
          <w:bCs/>
          <w:color w:val="auto"/>
          <w:sz w:val="32"/>
          <w:szCs w:val="32"/>
          <w:lang w:val="en-US" w:eastAsia="zh-CN"/>
        </w:rPr>
        <w:t>三是</w:t>
      </w:r>
      <w:r>
        <w:rPr>
          <w:rFonts w:ascii="Times New Roman" w:hAnsi="Times New Roman" w:eastAsia="仿宋_GB2312" w:cs="仿宋_GB2312"/>
          <w:color w:val="auto"/>
          <w:sz w:val="32"/>
          <w:szCs w:val="32"/>
        </w:rPr>
        <w:t>15%</w:t>
      </w:r>
      <w:r>
        <w:rPr>
          <w:rFonts w:hint="eastAsia" w:ascii="Times New Roman" w:hAnsi="Times New Roman" w:eastAsia="仿宋_GB2312" w:cs="仿宋_GB2312"/>
          <w:color w:val="auto"/>
          <w:sz w:val="32"/>
          <w:szCs w:val="32"/>
        </w:rPr>
        <w:t>的社区卫生服务中心的中医馆完成服务内涵</w:t>
      </w:r>
      <w:r>
        <w:rPr>
          <w:rFonts w:hint="eastAsia" w:ascii="Times New Roman" w:hAnsi="Times New Roman" w:eastAsia="仿宋_GB2312" w:cs="仿宋_GB2312"/>
          <w:color w:val="auto"/>
          <w:sz w:val="32"/>
          <w:szCs w:val="32"/>
          <w:lang w:val="en-US" w:eastAsia="zh-CN"/>
        </w:rPr>
        <w:t>和旗舰中医馆</w:t>
      </w:r>
      <w:r>
        <w:rPr>
          <w:rFonts w:hint="eastAsia" w:ascii="Times New Roman" w:hAnsi="Times New Roman" w:eastAsia="仿宋_GB2312" w:cs="仿宋_GB2312"/>
          <w:color w:val="auto"/>
          <w:sz w:val="32"/>
          <w:szCs w:val="32"/>
        </w:rPr>
        <w:t>建设</w:t>
      </w:r>
      <w:r>
        <w:rPr>
          <w:rFonts w:hint="eastAsia" w:ascii="Times New Roman" w:hAnsi="Times New Roman" w:eastAsia="仿宋_GB2312" w:cs="仿宋_GB2312"/>
          <w:color w:val="auto"/>
          <w:sz w:val="32"/>
          <w:szCs w:val="32"/>
          <w:lang w:eastAsia="zh-CN"/>
        </w:rPr>
        <w:t>。</w:t>
      </w:r>
    </w:p>
    <w:p>
      <w:pPr>
        <w:keepNext w:val="0"/>
        <w:keepLines w:val="0"/>
        <w:pageBreakBefore w:val="0"/>
        <w:widowControl w:val="0"/>
        <w:kinsoku/>
        <w:wordWrap w:val="0"/>
        <w:overflowPunct/>
        <w:topLinePunct/>
        <w:autoSpaceDE/>
        <w:autoSpaceDN/>
        <w:bidi w:val="0"/>
        <w:adjustRightInd/>
        <w:snapToGrid/>
        <w:spacing w:line="560" w:lineRule="exact"/>
        <w:ind w:left="0" w:leftChars="0" w:firstLine="640" w:firstLineChars="200"/>
        <w:jc w:val="both"/>
        <w:textAlignment w:val="auto"/>
        <w:rPr>
          <w:rFonts w:hint="eastAsia" w:ascii="Times New Roman" w:hAnsi="Times New Roman" w:eastAsia="仿宋_GB2312" w:cs="仿宋_GB2312"/>
          <w:color w:val="auto"/>
          <w:sz w:val="32"/>
          <w:szCs w:val="32"/>
          <w:lang w:eastAsia="zh-CN"/>
        </w:rPr>
      </w:pPr>
      <w:r>
        <w:rPr>
          <w:rFonts w:hint="eastAsia" w:ascii="楷体_GB2312" w:hAnsi="楷体_GB2312" w:eastAsia="楷体_GB2312" w:cs="楷体_GB2312"/>
          <w:b w:val="0"/>
          <w:bCs w:val="0"/>
          <w:color w:val="auto"/>
          <w:sz w:val="32"/>
          <w:szCs w:val="32"/>
          <w:lang w:eastAsia="zh-CN"/>
        </w:rPr>
        <w:t>（</w:t>
      </w:r>
      <w:r>
        <w:rPr>
          <w:rFonts w:hint="eastAsia" w:ascii="楷体_GB2312" w:hAnsi="楷体_GB2312" w:eastAsia="楷体_GB2312" w:cs="楷体_GB2312"/>
          <w:b w:val="0"/>
          <w:bCs w:val="0"/>
          <w:color w:val="auto"/>
          <w:sz w:val="32"/>
          <w:szCs w:val="32"/>
          <w:lang w:val="en-US" w:eastAsia="zh-CN"/>
        </w:rPr>
        <w:t>二</w:t>
      </w:r>
      <w:r>
        <w:rPr>
          <w:rFonts w:hint="eastAsia" w:ascii="楷体_GB2312" w:hAnsi="楷体_GB2312" w:eastAsia="楷体_GB2312" w:cs="楷体_GB2312"/>
          <w:b w:val="0"/>
          <w:bCs w:val="0"/>
          <w:color w:val="auto"/>
          <w:sz w:val="32"/>
          <w:szCs w:val="32"/>
          <w:lang w:eastAsia="zh-CN"/>
        </w:rPr>
        <w:t>）基层中医药人才队伍更加充实。</w:t>
      </w:r>
      <w:r>
        <w:rPr>
          <w:rFonts w:hint="eastAsia" w:ascii="Times New Roman" w:hAnsi="Times New Roman" w:eastAsia="仿宋_GB2312" w:cs="仿宋_GB2312"/>
          <w:b/>
          <w:bCs/>
          <w:color w:val="auto"/>
          <w:sz w:val="32"/>
          <w:szCs w:val="32"/>
          <w:lang w:val="en-US" w:eastAsia="zh-CN"/>
        </w:rPr>
        <w:t>一是</w:t>
      </w:r>
      <w:r>
        <w:rPr>
          <w:rFonts w:hint="eastAsia" w:ascii="Times New Roman" w:hAnsi="Times New Roman" w:eastAsia="仿宋_GB2312" w:cs="仿宋_GB2312"/>
          <w:color w:val="auto"/>
          <w:sz w:val="32"/>
          <w:szCs w:val="32"/>
        </w:rPr>
        <w:t>基本实现城乡每万居民有</w:t>
      </w:r>
      <w:r>
        <w:rPr>
          <w:rFonts w:ascii="Times New Roman" w:hAnsi="Times New Roman" w:eastAsia="仿宋_GB2312" w:cs="仿宋_GB2312"/>
          <w:color w:val="auto"/>
          <w:sz w:val="32"/>
          <w:szCs w:val="32"/>
        </w:rPr>
        <w:t>0.6-0.8</w:t>
      </w:r>
      <w:r>
        <w:rPr>
          <w:rFonts w:hint="eastAsia" w:ascii="Times New Roman" w:hAnsi="Times New Roman" w:eastAsia="仿宋_GB2312" w:cs="仿宋_GB2312"/>
          <w:color w:val="auto"/>
          <w:sz w:val="32"/>
          <w:szCs w:val="32"/>
        </w:rPr>
        <w:t>名合格的中医类别全科医生</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b/>
          <w:bCs/>
          <w:color w:val="auto"/>
          <w:sz w:val="32"/>
          <w:szCs w:val="32"/>
          <w:lang w:val="en-US" w:eastAsia="zh-CN"/>
        </w:rPr>
        <w:t>二是</w:t>
      </w:r>
      <w:r>
        <w:rPr>
          <w:rFonts w:ascii="Times New Roman" w:hAnsi="Times New Roman" w:eastAsia="仿宋_GB2312" w:cs="仿宋_GB2312"/>
          <w:color w:val="auto"/>
          <w:sz w:val="32"/>
          <w:szCs w:val="32"/>
        </w:rPr>
        <w:t>100%</w:t>
      </w:r>
      <w:r>
        <w:rPr>
          <w:rFonts w:hint="eastAsia" w:ascii="Times New Roman" w:hAnsi="Times New Roman" w:eastAsia="仿宋_GB2312" w:cs="仿宋_GB2312"/>
          <w:color w:val="auto"/>
          <w:sz w:val="32"/>
          <w:szCs w:val="32"/>
        </w:rPr>
        <w:t>的社区卫生服务中心中医类别医师占同类机构医师总数比例达到</w:t>
      </w:r>
      <w:r>
        <w:rPr>
          <w:rFonts w:ascii="Times New Roman" w:hAnsi="Times New Roman" w:eastAsia="仿宋_GB2312" w:cs="仿宋_GB2312"/>
          <w:color w:val="auto"/>
          <w:sz w:val="32"/>
          <w:szCs w:val="32"/>
        </w:rPr>
        <w:t>25%</w:t>
      </w:r>
      <w:r>
        <w:rPr>
          <w:rFonts w:hint="eastAsia" w:ascii="Times New Roman" w:hAnsi="Times New Roman" w:eastAsia="仿宋_GB2312" w:cs="仿宋_GB2312"/>
          <w:color w:val="auto"/>
          <w:sz w:val="32"/>
          <w:szCs w:val="32"/>
        </w:rPr>
        <w:t>以上</w:t>
      </w:r>
      <w:r>
        <w:rPr>
          <w:rFonts w:hint="eastAsia" w:ascii="Times New Roman" w:hAnsi="Times New Roman" w:eastAsia="仿宋_GB2312" w:cs="仿宋_GB2312"/>
          <w:color w:val="auto"/>
          <w:sz w:val="32"/>
          <w:szCs w:val="32"/>
          <w:lang w:eastAsia="zh-CN"/>
        </w:rPr>
        <w:t>。</w:t>
      </w:r>
    </w:p>
    <w:p>
      <w:pPr>
        <w:keepNext w:val="0"/>
        <w:keepLines w:val="0"/>
        <w:pageBreakBefore w:val="0"/>
        <w:widowControl w:val="0"/>
        <w:kinsoku/>
        <w:wordWrap w:val="0"/>
        <w:overflowPunct/>
        <w:topLinePunct/>
        <w:autoSpaceDE/>
        <w:autoSpaceDN/>
        <w:bidi w:val="0"/>
        <w:adjustRightInd/>
        <w:snapToGrid/>
        <w:spacing w:line="560" w:lineRule="exact"/>
        <w:ind w:left="0" w:leftChars="0" w:firstLine="640" w:firstLineChars="200"/>
        <w:jc w:val="both"/>
        <w:textAlignment w:val="auto"/>
        <w:rPr>
          <w:rFonts w:hint="eastAsia" w:ascii="Times New Roman" w:hAnsi="Times New Roman" w:eastAsia="仿宋_GB2312" w:cs="仿宋_GB2312"/>
          <w:color w:val="auto"/>
          <w:sz w:val="32"/>
          <w:szCs w:val="32"/>
          <w:lang w:eastAsia="zh-CN"/>
        </w:rPr>
      </w:pPr>
      <w:r>
        <w:rPr>
          <w:rFonts w:hint="eastAsia" w:ascii="楷体_GB2312" w:hAnsi="楷体_GB2312" w:eastAsia="楷体_GB2312" w:cs="楷体_GB2312"/>
          <w:b w:val="0"/>
          <w:bCs w:val="0"/>
          <w:color w:val="auto"/>
          <w:sz w:val="32"/>
          <w:szCs w:val="32"/>
          <w:lang w:eastAsia="zh-CN"/>
        </w:rPr>
        <w:t>（三）基层中医药服务能力更加扎实。</w:t>
      </w:r>
      <w:r>
        <w:rPr>
          <w:rFonts w:hint="eastAsia" w:ascii="Times New Roman" w:hAnsi="Times New Roman" w:eastAsia="仿宋_GB2312" w:cs="仿宋_GB2312"/>
          <w:b/>
          <w:bCs/>
          <w:color w:val="auto"/>
          <w:sz w:val="32"/>
          <w:szCs w:val="32"/>
          <w:lang w:val="en-US" w:eastAsia="zh-CN"/>
        </w:rPr>
        <w:t>一是</w:t>
      </w:r>
      <w:r>
        <w:rPr>
          <w:rFonts w:hint="eastAsia" w:ascii="Times New Roman" w:hAnsi="Times New Roman" w:eastAsia="仿宋_GB2312" w:cs="仿宋_GB2312"/>
          <w:b w:val="0"/>
          <w:bCs w:val="0"/>
          <w:color w:val="auto"/>
          <w:sz w:val="32"/>
          <w:szCs w:val="32"/>
          <w:lang w:val="en-US" w:eastAsia="zh-CN"/>
        </w:rPr>
        <w:t>越秀区中医医院</w:t>
      </w:r>
      <w:r>
        <w:rPr>
          <w:rFonts w:hint="eastAsia" w:ascii="Times New Roman" w:hAnsi="Times New Roman" w:eastAsia="仿宋_GB2312" w:cs="仿宋_GB2312"/>
          <w:color w:val="auto"/>
          <w:sz w:val="32"/>
          <w:szCs w:val="32"/>
        </w:rPr>
        <w:t>设置</w:t>
      </w:r>
      <w:r>
        <w:rPr>
          <w:rFonts w:hint="eastAsia" w:ascii="Times New Roman" w:hAnsi="Times New Roman" w:eastAsia="仿宋_GB2312" w:cs="仿宋_GB2312"/>
          <w:color w:val="auto"/>
          <w:sz w:val="32"/>
          <w:szCs w:val="32"/>
          <w:lang w:val="en-US" w:eastAsia="zh-CN"/>
        </w:rPr>
        <w:t>1个</w:t>
      </w:r>
      <w:r>
        <w:rPr>
          <w:rFonts w:hint="eastAsia" w:ascii="Times New Roman" w:hAnsi="Times New Roman" w:eastAsia="仿宋_GB2312" w:cs="仿宋_GB2312"/>
          <w:color w:val="auto"/>
          <w:sz w:val="32"/>
          <w:szCs w:val="32"/>
        </w:rPr>
        <w:t>中医药适宜技术</w:t>
      </w:r>
      <w:r>
        <w:rPr>
          <w:rFonts w:hint="eastAsia" w:ascii="Times New Roman" w:hAnsi="Times New Roman" w:eastAsia="仿宋_GB2312" w:cs="仿宋_GB2312"/>
          <w:color w:val="auto"/>
          <w:sz w:val="32"/>
          <w:szCs w:val="32"/>
          <w:lang w:val="en-US" w:eastAsia="zh-CN"/>
        </w:rPr>
        <w:t>培训基地；</w:t>
      </w:r>
      <w:r>
        <w:rPr>
          <w:rFonts w:hint="eastAsia" w:ascii="Times New Roman" w:hAnsi="Times New Roman" w:eastAsia="仿宋_GB2312" w:cs="仿宋_GB2312"/>
          <w:b/>
          <w:bCs/>
          <w:color w:val="auto"/>
          <w:sz w:val="32"/>
          <w:szCs w:val="32"/>
          <w:lang w:val="en-US" w:eastAsia="zh-CN"/>
        </w:rPr>
        <w:t>二是</w:t>
      </w:r>
      <w:r>
        <w:rPr>
          <w:rFonts w:ascii="Times New Roman" w:hAnsi="Times New Roman" w:eastAsia="仿宋_GB2312" w:cs="仿宋_GB2312"/>
          <w:color w:val="auto"/>
          <w:sz w:val="32"/>
          <w:szCs w:val="32"/>
        </w:rPr>
        <w:t>100%</w:t>
      </w:r>
      <w:r>
        <w:rPr>
          <w:rFonts w:hint="eastAsia" w:ascii="Times New Roman" w:hAnsi="Times New Roman" w:eastAsia="仿宋_GB2312" w:cs="仿宋_GB2312"/>
          <w:color w:val="auto"/>
          <w:sz w:val="32"/>
          <w:szCs w:val="32"/>
        </w:rPr>
        <w:t>社区卫生服务中心能够规范开展</w:t>
      </w:r>
      <w:r>
        <w:rPr>
          <w:rFonts w:ascii="Times New Roman" w:hAnsi="Times New Roman" w:eastAsia="仿宋_GB2312" w:cs="仿宋_GB2312"/>
          <w:color w:val="auto"/>
          <w:sz w:val="32"/>
          <w:szCs w:val="32"/>
        </w:rPr>
        <w:t>15</w:t>
      </w:r>
      <w:r>
        <w:rPr>
          <w:rFonts w:hint="eastAsia" w:ascii="Times New Roman" w:hAnsi="Times New Roman" w:eastAsia="仿宋_GB2312" w:cs="仿宋_GB2312"/>
          <w:color w:val="auto"/>
          <w:sz w:val="32"/>
          <w:szCs w:val="32"/>
        </w:rPr>
        <w:t>项以上中医药适宜技术</w:t>
      </w:r>
      <w:r>
        <w:rPr>
          <w:rFonts w:hint="eastAsia" w:ascii="Times New Roman" w:hAnsi="Times New Roman" w:eastAsia="仿宋_GB2312" w:cs="仿宋_GB2312"/>
          <w:color w:val="auto"/>
          <w:sz w:val="32"/>
          <w:szCs w:val="32"/>
          <w:lang w:eastAsia="zh-CN"/>
        </w:rPr>
        <w:t>。</w:t>
      </w:r>
    </w:p>
    <w:p>
      <w:pPr>
        <w:keepNext w:val="0"/>
        <w:keepLines w:val="0"/>
        <w:pageBreakBefore w:val="0"/>
        <w:widowControl w:val="0"/>
        <w:kinsoku/>
        <w:wordWrap w:val="0"/>
        <w:overflowPunct/>
        <w:topLinePunct/>
        <w:autoSpaceDE/>
        <w:autoSpaceDN/>
        <w:bidi w:val="0"/>
        <w:adjustRightInd/>
        <w:snapToGrid/>
        <w:spacing w:line="560" w:lineRule="exact"/>
        <w:ind w:left="0" w:leftChars="0" w:firstLine="640" w:firstLineChars="200"/>
        <w:jc w:val="both"/>
        <w:textAlignment w:val="auto"/>
        <w:rPr>
          <w:rFonts w:hint="eastAsia" w:ascii="Times New Roman" w:hAnsi="Times New Roman" w:eastAsia="仿宋_GB2312" w:cs="仿宋_GB2312"/>
          <w:color w:val="auto"/>
          <w:sz w:val="32"/>
          <w:szCs w:val="32"/>
        </w:rPr>
      </w:pPr>
      <w:r>
        <w:rPr>
          <w:rFonts w:hint="eastAsia" w:ascii="楷体_GB2312" w:hAnsi="楷体_GB2312" w:eastAsia="楷体_GB2312" w:cs="楷体_GB2312"/>
          <w:b w:val="0"/>
          <w:bCs w:val="0"/>
          <w:color w:val="auto"/>
          <w:sz w:val="32"/>
          <w:szCs w:val="32"/>
          <w:lang w:eastAsia="zh-CN"/>
        </w:rPr>
        <w:t>（四）基层中医药健康教育更加普及。</w:t>
      </w:r>
      <w:r>
        <w:rPr>
          <w:rFonts w:hint="eastAsia" w:ascii="Times New Roman" w:hAnsi="Times New Roman" w:eastAsia="仿宋_GB2312" w:cs="仿宋_GB2312"/>
          <w:b w:val="0"/>
          <w:bCs w:val="0"/>
          <w:color w:val="auto"/>
          <w:sz w:val="32"/>
          <w:szCs w:val="32"/>
          <w:lang w:val="en-US" w:eastAsia="zh-CN"/>
        </w:rPr>
        <w:t>越秀区中医医院</w:t>
      </w:r>
      <w:r>
        <w:rPr>
          <w:rFonts w:hint="eastAsia" w:ascii="Times New Roman" w:hAnsi="Times New Roman" w:eastAsia="仿宋_GB2312" w:cs="仿宋_GB2312"/>
          <w:color w:val="auto"/>
          <w:sz w:val="32"/>
          <w:szCs w:val="32"/>
        </w:rPr>
        <w:t>设置中医健康宣教基地，推动中医药健康知识普及</w:t>
      </w:r>
      <w:r>
        <w:rPr>
          <w:rFonts w:hint="eastAsia" w:ascii="Times New Roman" w:hAnsi="Times New Roman" w:eastAsia="仿宋_GB2312" w:cs="仿宋_GB2312"/>
          <w:color w:val="auto"/>
          <w:sz w:val="32"/>
          <w:szCs w:val="32"/>
          <w:lang w:eastAsia="zh-CN"/>
        </w:rPr>
        <w:t>。</w:t>
      </w:r>
    </w:p>
    <w:p>
      <w:pPr>
        <w:keepNext w:val="0"/>
        <w:keepLines w:val="0"/>
        <w:pageBreakBefore w:val="0"/>
        <w:widowControl w:val="0"/>
        <w:kinsoku/>
        <w:wordWrap w:val="0"/>
        <w:overflowPunct/>
        <w:topLinePunct/>
        <w:autoSpaceDE/>
        <w:autoSpaceDN/>
        <w:bidi w:val="0"/>
        <w:adjustRightInd/>
        <w:snapToGrid/>
        <w:spacing w:line="560" w:lineRule="exact"/>
        <w:ind w:left="0" w:leftChars="0" w:firstLine="640" w:firstLineChars="200"/>
        <w:jc w:val="both"/>
        <w:textAlignment w:val="auto"/>
        <w:rPr>
          <w:rFonts w:hint="eastAsia" w:ascii="Times New Roman" w:hAnsi="Times New Roman" w:eastAsia="黑体"/>
          <w:color w:val="auto"/>
          <w:sz w:val="32"/>
          <w:szCs w:val="32"/>
        </w:rPr>
      </w:pPr>
      <w:r>
        <w:rPr>
          <w:rFonts w:hint="eastAsia" w:ascii="Times New Roman" w:hAnsi="Times New Roman" w:eastAsia="黑体"/>
          <w:color w:val="auto"/>
          <w:sz w:val="32"/>
          <w:szCs w:val="32"/>
          <w:lang w:val="en-US" w:eastAsia="zh-CN"/>
        </w:rPr>
        <w:t>三、七大</w:t>
      </w:r>
      <w:r>
        <w:rPr>
          <w:rFonts w:hint="eastAsia" w:ascii="Times New Roman" w:hAnsi="Times New Roman" w:eastAsia="黑体"/>
          <w:color w:val="auto"/>
          <w:sz w:val="32"/>
          <w:szCs w:val="32"/>
        </w:rPr>
        <w:t>重点任务</w:t>
      </w:r>
    </w:p>
    <w:p>
      <w:pPr>
        <w:keepNext w:val="0"/>
        <w:keepLines w:val="0"/>
        <w:pageBreakBefore w:val="0"/>
        <w:widowControl w:val="0"/>
        <w:kinsoku/>
        <w:wordWrap w:val="0"/>
        <w:overflowPunct/>
        <w:topLinePunct/>
        <w:autoSpaceDE/>
        <w:autoSpaceDN/>
        <w:bidi w:val="0"/>
        <w:adjustRightInd/>
        <w:snapToGrid/>
        <w:spacing w:line="560" w:lineRule="exact"/>
        <w:ind w:left="0" w:leftChars="0" w:firstLine="640" w:firstLineChars="200"/>
        <w:jc w:val="both"/>
        <w:textAlignment w:val="auto"/>
        <w:rPr>
          <w:rFonts w:hint="eastAsia" w:ascii="Times New Roman" w:hAnsi="Times New Roman" w:eastAsia="仿宋_GB2312"/>
          <w:lang w:eastAsia="zh-CN"/>
        </w:rPr>
      </w:pPr>
      <w:r>
        <w:rPr>
          <w:rFonts w:hint="eastAsia" w:ascii="楷体_GB2312" w:hAnsi="楷体_GB2312" w:eastAsia="楷体_GB2312" w:cs="楷体_GB2312"/>
          <w:bCs/>
          <w:color w:val="auto"/>
          <w:sz w:val="32"/>
          <w:szCs w:val="32"/>
        </w:rPr>
        <w:t>（一）完善基层中医药服务体系</w:t>
      </w:r>
      <w:r>
        <w:rPr>
          <w:rFonts w:hint="eastAsia" w:ascii="楷体_GB2312" w:hAnsi="楷体_GB2312" w:eastAsia="楷体_GB2312" w:cs="楷体_GB2312"/>
          <w:bCs/>
          <w:color w:val="auto"/>
          <w:sz w:val="32"/>
          <w:szCs w:val="32"/>
          <w:lang w:eastAsia="zh-CN"/>
        </w:rPr>
        <w:t>。</w:t>
      </w:r>
      <w:r>
        <w:rPr>
          <w:rFonts w:hint="eastAsia" w:ascii="Times New Roman" w:hAnsi="Times New Roman" w:eastAsia="仿宋_GB2312" w:cs="仿宋_GB2312"/>
          <w:b/>
          <w:bCs/>
          <w:color w:val="auto"/>
          <w:sz w:val="32"/>
          <w:szCs w:val="32"/>
          <w:lang w:val="en-US" w:eastAsia="zh-CN"/>
        </w:rPr>
        <w:t>一是</w:t>
      </w:r>
      <w:r>
        <w:rPr>
          <w:rFonts w:hint="eastAsia" w:ascii="Times New Roman" w:hAnsi="Times New Roman" w:eastAsia="仿宋_GB2312" w:cs="仿宋_GB2312"/>
          <w:color w:val="auto"/>
          <w:sz w:val="32"/>
          <w:szCs w:val="32"/>
        </w:rPr>
        <w:t>强化</w:t>
      </w:r>
      <w:r>
        <w:rPr>
          <w:rFonts w:hint="eastAsia" w:ascii="Times New Roman" w:hAnsi="Times New Roman" w:eastAsia="仿宋_GB2312" w:cs="仿宋_GB2312"/>
          <w:color w:val="auto"/>
          <w:sz w:val="32"/>
          <w:szCs w:val="32"/>
          <w:lang w:val="en-US" w:eastAsia="zh-CN"/>
        </w:rPr>
        <w:t>越秀区中医医院和广州市正骨医院</w:t>
      </w:r>
      <w:r>
        <w:rPr>
          <w:rFonts w:hint="eastAsia" w:ascii="Times New Roman" w:hAnsi="Times New Roman" w:eastAsia="仿宋_GB2312" w:cs="仿宋_GB2312"/>
          <w:color w:val="auto"/>
          <w:sz w:val="32"/>
          <w:szCs w:val="32"/>
        </w:rPr>
        <w:t>专科特色</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color w:val="auto"/>
          <w:sz w:val="32"/>
          <w:szCs w:val="32"/>
        </w:rPr>
        <w:t>推动</w:t>
      </w:r>
      <w:r>
        <w:rPr>
          <w:rFonts w:hint="eastAsia" w:ascii="Times New Roman" w:hAnsi="Times New Roman" w:eastAsia="仿宋_GB2312" w:cs="仿宋_GB2312"/>
          <w:color w:val="auto"/>
          <w:sz w:val="32"/>
          <w:szCs w:val="32"/>
          <w:lang w:val="en-US" w:eastAsia="zh-CN"/>
        </w:rPr>
        <w:t>越秀</w:t>
      </w:r>
      <w:r>
        <w:rPr>
          <w:rFonts w:hint="eastAsia" w:ascii="Times New Roman" w:hAnsi="Times New Roman" w:eastAsia="仿宋_GB2312" w:cs="仿宋_GB2312"/>
          <w:color w:val="auto"/>
          <w:sz w:val="32"/>
          <w:szCs w:val="32"/>
        </w:rPr>
        <w:t>区妇幼保健</w:t>
      </w:r>
      <w:r>
        <w:rPr>
          <w:rFonts w:hint="eastAsia" w:ascii="Times New Roman" w:hAnsi="Times New Roman" w:eastAsia="仿宋_GB2312" w:cs="仿宋_GB2312"/>
          <w:color w:val="auto"/>
          <w:sz w:val="32"/>
          <w:szCs w:val="32"/>
          <w:lang w:val="en-US" w:eastAsia="zh-CN"/>
        </w:rPr>
        <w:t>院</w:t>
      </w:r>
      <w:r>
        <w:rPr>
          <w:rFonts w:hint="eastAsia" w:ascii="Times New Roman" w:hAnsi="Times New Roman" w:eastAsia="仿宋_GB2312" w:cs="仿宋_GB2312"/>
          <w:color w:val="auto"/>
          <w:sz w:val="32"/>
          <w:szCs w:val="32"/>
        </w:rPr>
        <w:t>提供覆盖妇女儿童全生命周期的中医妇科、中医儿科特色服务</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b/>
          <w:bCs/>
          <w:color w:val="auto"/>
          <w:sz w:val="32"/>
          <w:szCs w:val="32"/>
          <w:lang w:val="en-US" w:eastAsia="zh-CN"/>
        </w:rPr>
        <w:t>二是</w:t>
      </w:r>
      <w:r>
        <w:rPr>
          <w:rFonts w:hint="eastAsia" w:ascii="Times New Roman" w:hAnsi="Times New Roman" w:eastAsia="仿宋_GB2312" w:cs="仿宋_GB2312"/>
          <w:b w:val="0"/>
          <w:bCs w:val="0"/>
          <w:color w:val="auto"/>
          <w:sz w:val="32"/>
          <w:szCs w:val="32"/>
        </w:rPr>
        <w:t>推进基层医疗卫生机构中医药服务内涵建设</w:t>
      </w:r>
      <w:r>
        <w:rPr>
          <w:rFonts w:hint="eastAsia" w:ascii="Times New Roman" w:hAnsi="Times New Roman" w:eastAsia="仿宋_GB2312" w:cs="仿宋_GB2312"/>
          <w:b w:val="0"/>
          <w:bCs w:val="0"/>
          <w:color w:val="auto"/>
          <w:sz w:val="32"/>
          <w:szCs w:val="32"/>
          <w:lang w:eastAsia="zh-CN"/>
        </w:rPr>
        <w:t>，</w:t>
      </w:r>
      <w:r>
        <w:rPr>
          <w:rFonts w:hint="eastAsia" w:ascii="Times New Roman" w:hAnsi="Times New Roman" w:eastAsia="仿宋_GB2312" w:cs="仿宋_GB2312"/>
          <w:b w:val="0"/>
          <w:bCs w:val="0"/>
          <w:color w:val="auto"/>
          <w:sz w:val="32"/>
          <w:szCs w:val="32"/>
          <w:lang w:val="en-US" w:eastAsia="zh-CN"/>
        </w:rPr>
        <w:t>落实</w:t>
      </w:r>
      <w:r>
        <w:rPr>
          <w:rFonts w:hint="eastAsia" w:ascii="Times New Roman" w:hAnsi="Times New Roman" w:eastAsia="仿宋_GB2312" w:cs="仿宋_GB2312"/>
          <w:b w:val="0"/>
          <w:bCs w:val="0"/>
          <w:color w:val="auto"/>
          <w:sz w:val="32"/>
          <w:szCs w:val="32"/>
        </w:rPr>
        <w:t>旗舰中医馆建设项目</w:t>
      </w:r>
      <w:r>
        <w:rPr>
          <w:rFonts w:hint="eastAsia" w:ascii="Times New Roman" w:hAnsi="Times New Roman" w:eastAsia="仿宋_GB2312" w:cs="仿宋_GB2312"/>
          <w:b w:val="0"/>
          <w:bCs w:val="0"/>
          <w:color w:val="auto"/>
          <w:sz w:val="32"/>
          <w:szCs w:val="32"/>
          <w:lang w:eastAsia="zh-CN"/>
        </w:rPr>
        <w:t>；</w:t>
      </w:r>
      <w:r>
        <w:rPr>
          <w:rFonts w:hint="eastAsia" w:ascii="Times New Roman" w:hAnsi="Times New Roman" w:eastAsia="仿宋_GB2312" w:cs="仿宋_GB2312"/>
          <w:b/>
          <w:bCs/>
          <w:color w:val="auto"/>
          <w:sz w:val="32"/>
          <w:szCs w:val="32"/>
          <w:lang w:val="en-US" w:eastAsia="zh-CN"/>
        </w:rPr>
        <w:t>三是</w:t>
      </w:r>
      <w:r>
        <w:rPr>
          <w:rFonts w:hint="eastAsia" w:ascii="Times New Roman" w:hAnsi="Times New Roman" w:eastAsia="仿宋_GB2312" w:cs="仿宋_GB2312"/>
          <w:b w:val="0"/>
          <w:bCs w:val="0"/>
          <w:color w:val="auto"/>
          <w:sz w:val="32"/>
          <w:szCs w:val="32"/>
        </w:rPr>
        <w:t>鼓励支持社会力量举办中医类别医疗机构</w:t>
      </w:r>
      <w:r>
        <w:rPr>
          <w:rFonts w:hint="eastAsia" w:ascii="Times New Roman" w:hAnsi="Times New Roman" w:eastAsia="仿宋_GB2312" w:cs="仿宋_GB2312"/>
          <w:b w:val="0"/>
          <w:bCs w:val="0"/>
          <w:color w:val="auto"/>
          <w:sz w:val="32"/>
          <w:szCs w:val="32"/>
          <w:lang w:eastAsia="zh-CN"/>
        </w:rPr>
        <w:t>。</w:t>
      </w:r>
    </w:p>
    <w:p>
      <w:pPr>
        <w:keepNext w:val="0"/>
        <w:keepLines w:val="0"/>
        <w:pageBreakBefore w:val="0"/>
        <w:widowControl w:val="0"/>
        <w:kinsoku/>
        <w:wordWrap w:val="0"/>
        <w:overflowPunct/>
        <w:topLinePunct/>
        <w:autoSpaceDE/>
        <w:autoSpaceDN/>
        <w:bidi w:val="0"/>
        <w:adjustRightInd/>
        <w:snapToGrid/>
        <w:spacing w:line="560" w:lineRule="exact"/>
        <w:ind w:left="0" w:leftChars="0" w:firstLine="640" w:firstLineChars="200"/>
        <w:jc w:val="both"/>
        <w:textAlignment w:val="auto"/>
        <w:rPr>
          <w:rFonts w:hint="eastAsia" w:ascii="Times New Roman" w:hAnsi="Times New Roman" w:eastAsia="仿宋_GB2312" w:cs="仿宋_GB2312"/>
          <w:color w:val="auto"/>
          <w:sz w:val="32"/>
          <w:szCs w:val="32"/>
          <w:lang w:eastAsia="zh-CN"/>
        </w:rPr>
      </w:pPr>
      <w:r>
        <w:rPr>
          <w:rFonts w:hint="eastAsia" w:ascii="楷体_GB2312" w:hAnsi="楷体_GB2312" w:eastAsia="楷体_GB2312" w:cs="楷体_GB2312"/>
          <w:bCs/>
          <w:color w:val="auto"/>
          <w:sz w:val="32"/>
          <w:szCs w:val="32"/>
        </w:rPr>
        <w:t>（二）夯实基层中医药人才队伍</w:t>
      </w:r>
      <w:r>
        <w:rPr>
          <w:rFonts w:hint="eastAsia" w:ascii="楷体_GB2312" w:hAnsi="楷体_GB2312" w:eastAsia="楷体_GB2312" w:cs="楷体_GB2312"/>
          <w:bCs/>
          <w:color w:val="auto"/>
          <w:sz w:val="32"/>
          <w:szCs w:val="32"/>
          <w:lang w:eastAsia="zh-CN"/>
        </w:rPr>
        <w:t>。</w:t>
      </w:r>
      <w:r>
        <w:rPr>
          <w:rFonts w:hint="eastAsia" w:ascii="Times New Roman" w:hAnsi="Times New Roman" w:eastAsia="仿宋_GB2312" w:cs="仿宋_GB2312"/>
          <w:b/>
          <w:bCs/>
          <w:color w:val="auto"/>
          <w:sz w:val="32"/>
          <w:szCs w:val="32"/>
          <w:lang w:val="en-US" w:eastAsia="zh-CN"/>
        </w:rPr>
        <w:t>一是</w:t>
      </w:r>
      <w:r>
        <w:rPr>
          <w:rFonts w:ascii="Times New Roman" w:hAnsi="Times New Roman" w:eastAsia="仿宋_GB2312" w:cs="仿宋_GB2312"/>
          <w:color w:val="auto"/>
          <w:sz w:val="32"/>
          <w:szCs w:val="32"/>
        </w:rPr>
        <w:t>持续推进</w:t>
      </w:r>
      <w:r>
        <w:rPr>
          <w:rFonts w:hint="eastAsia" w:ascii="Times New Roman" w:hAnsi="Times New Roman" w:eastAsia="仿宋_GB2312" w:cs="仿宋_GB2312"/>
          <w:color w:val="auto"/>
          <w:sz w:val="32"/>
          <w:szCs w:val="32"/>
        </w:rPr>
        <w:t>基层老中医药专家传承工作室建设</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olor w:val="auto"/>
          <w:sz w:val="32"/>
          <w:szCs w:val="32"/>
        </w:rPr>
        <w:t>建设</w:t>
      </w:r>
      <w:r>
        <w:rPr>
          <w:rFonts w:hint="eastAsia" w:ascii="Times New Roman" w:hAnsi="Times New Roman" w:eastAsia="仿宋_GB2312"/>
          <w:color w:val="auto"/>
          <w:sz w:val="32"/>
          <w:szCs w:val="32"/>
          <w:lang w:val="en-US" w:eastAsia="zh-CN"/>
        </w:rPr>
        <w:t>13个以上广州</w:t>
      </w:r>
      <w:r>
        <w:rPr>
          <w:rFonts w:hint="eastAsia" w:ascii="Times New Roman" w:hAnsi="Times New Roman" w:eastAsia="仿宋_GB2312"/>
          <w:color w:val="auto"/>
          <w:sz w:val="32"/>
          <w:szCs w:val="32"/>
        </w:rPr>
        <w:t>市三级名中医工作室</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持续开展中医类别全科医生规范化培训、</w:t>
      </w:r>
      <w:r>
        <w:rPr>
          <w:rFonts w:hint="eastAsia" w:ascii="Times New Roman" w:hAnsi="Times New Roman" w:eastAsia="仿宋_GB2312"/>
          <w:color w:val="auto"/>
          <w:sz w:val="32"/>
          <w:szCs w:val="32"/>
          <w:lang w:eastAsia="zh-CN"/>
        </w:rPr>
        <w:t>“</w:t>
      </w:r>
      <w:r>
        <w:rPr>
          <w:rFonts w:hint="eastAsia" w:ascii="Times New Roman" w:hAnsi="Times New Roman" w:eastAsia="仿宋_GB2312" w:cs="仿宋_GB2312"/>
          <w:color w:val="auto"/>
          <w:sz w:val="32"/>
          <w:szCs w:val="32"/>
          <w:lang w:val="en-US" w:eastAsia="zh-CN"/>
        </w:rPr>
        <w:t>西学中</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lang w:val="en-US" w:eastAsia="zh-CN"/>
        </w:rPr>
        <w:t>等</w:t>
      </w:r>
      <w:r>
        <w:rPr>
          <w:rFonts w:hint="eastAsia" w:ascii="Times New Roman" w:hAnsi="Times New Roman" w:eastAsia="仿宋_GB2312" w:cs="仿宋_GB2312"/>
          <w:color w:val="auto"/>
          <w:sz w:val="32"/>
          <w:szCs w:val="32"/>
          <w:lang w:val="en-US" w:eastAsia="zh-CN"/>
        </w:rPr>
        <w:t>培训</w:t>
      </w:r>
      <w:r>
        <w:rPr>
          <w:rFonts w:hint="eastAsia" w:ascii="Times New Roman" w:hAnsi="Times New Roman" w:eastAsia="仿宋_GB2312"/>
          <w:color w:val="auto"/>
          <w:sz w:val="32"/>
          <w:szCs w:val="32"/>
          <w:lang w:eastAsia="zh-CN"/>
        </w:rPr>
        <w:t>，</w:t>
      </w:r>
      <w:r>
        <w:rPr>
          <w:rFonts w:hint="eastAsia" w:ascii="Times New Roman" w:hAnsi="Times New Roman" w:eastAsia="仿宋_GB2312" w:cs="仿宋_GB2312"/>
          <w:color w:val="auto"/>
          <w:sz w:val="32"/>
          <w:szCs w:val="32"/>
        </w:rPr>
        <w:t>鼓励</w:t>
      </w:r>
      <w:r>
        <w:rPr>
          <w:rFonts w:hint="eastAsia" w:ascii="Times New Roman" w:hAnsi="Times New Roman" w:eastAsia="仿宋_GB2312" w:cs="仿宋_GB2312"/>
          <w:color w:val="auto"/>
          <w:sz w:val="32"/>
          <w:szCs w:val="32"/>
          <w:lang w:val="en-US" w:eastAsia="zh-CN"/>
        </w:rPr>
        <w:t>开展</w:t>
      </w:r>
      <w:r>
        <w:rPr>
          <w:rFonts w:hint="eastAsia" w:ascii="Times New Roman" w:hAnsi="Times New Roman" w:eastAsia="仿宋_GB2312" w:cs="仿宋_GB2312"/>
          <w:color w:val="auto"/>
          <w:sz w:val="32"/>
          <w:szCs w:val="32"/>
        </w:rPr>
        <w:t>中医医术确有专长</w:t>
      </w:r>
      <w:r>
        <w:rPr>
          <w:rFonts w:hint="eastAsia" w:ascii="Times New Roman" w:hAnsi="Times New Roman" w:eastAsia="仿宋_GB2312" w:cs="仿宋_GB2312"/>
          <w:color w:val="auto"/>
          <w:sz w:val="32"/>
          <w:szCs w:val="32"/>
          <w:lang w:val="en-US" w:eastAsia="zh-CN"/>
        </w:rPr>
        <w:t>和</w:t>
      </w:r>
      <w:r>
        <w:rPr>
          <w:rFonts w:hint="eastAsia" w:ascii="Times New Roman" w:hAnsi="Times New Roman" w:eastAsia="仿宋_GB2312" w:cs="仿宋_GB2312"/>
          <w:color w:val="auto"/>
          <w:sz w:val="32"/>
          <w:szCs w:val="32"/>
        </w:rPr>
        <w:t>传统医学师承和确有专长人员</w:t>
      </w:r>
      <w:r>
        <w:rPr>
          <w:rFonts w:hint="eastAsia" w:ascii="Times New Roman" w:hAnsi="Times New Roman" w:eastAsia="仿宋_GB2312" w:cs="仿宋_GB2312"/>
          <w:color w:val="auto"/>
          <w:sz w:val="32"/>
          <w:szCs w:val="32"/>
          <w:lang w:val="en-US" w:eastAsia="zh-CN"/>
        </w:rPr>
        <w:t>参加</w:t>
      </w:r>
      <w:r>
        <w:rPr>
          <w:rFonts w:hint="eastAsia" w:ascii="Times New Roman" w:hAnsi="Times New Roman" w:eastAsia="仿宋_GB2312" w:cs="仿宋_GB2312"/>
          <w:color w:val="auto"/>
          <w:sz w:val="32"/>
          <w:szCs w:val="32"/>
        </w:rPr>
        <w:t>医师资格考核</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b/>
          <w:bCs/>
          <w:color w:val="auto"/>
          <w:sz w:val="32"/>
          <w:szCs w:val="32"/>
          <w:lang w:val="en-US" w:eastAsia="zh-CN"/>
        </w:rPr>
        <w:t>二是</w:t>
      </w:r>
      <w:r>
        <w:rPr>
          <w:rFonts w:hint="eastAsia" w:ascii="Times New Roman" w:hAnsi="Times New Roman" w:eastAsia="仿宋_GB2312" w:cs="仿宋_GB2312"/>
          <w:color w:val="auto"/>
          <w:sz w:val="32"/>
          <w:szCs w:val="32"/>
        </w:rPr>
        <w:t>推动</w:t>
      </w:r>
      <w:r>
        <w:rPr>
          <w:rFonts w:hint="eastAsia" w:ascii="Times New Roman" w:hAnsi="Times New Roman" w:eastAsia="仿宋_GB2312" w:cs="仿宋_GB2312"/>
          <w:color w:val="auto"/>
          <w:sz w:val="32"/>
          <w:szCs w:val="32"/>
          <w:lang w:val="en-US" w:eastAsia="zh-CN"/>
        </w:rPr>
        <w:t>区级</w:t>
      </w:r>
      <w:r>
        <w:rPr>
          <w:rFonts w:hint="eastAsia" w:ascii="Times New Roman" w:hAnsi="Times New Roman" w:eastAsia="仿宋_GB2312" w:cs="仿宋_GB2312"/>
          <w:color w:val="auto"/>
          <w:sz w:val="32"/>
          <w:szCs w:val="32"/>
        </w:rPr>
        <w:t>中医医院中医类别医师占本机构医师总数的比例达60%以上，社区卫生服务中心中医类别医师占同类机构医师总数比例超过25%</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b/>
          <w:bCs/>
          <w:color w:val="auto"/>
          <w:sz w:val="32"/>
          <w:szCs w:val="32"/>
          <w:lang w:val="en-US" w:eastAsia="zh-CN"/>
        </w:rPr>
        <w:t>三是</w:t>
      </w:r>
      <w:r>
        <w:rPr>
          <w:rFonts w:hint="eastAsia" w:ascii="Times New Roman" w:hAnsi="Times New Roman" w:eastAsia="仿宋_GB2312" w:cs="仿宋_GB2312"/>
          <w:color w:val="auto"/>
          <w:sz w:val="32"/>
          <w:szCs w:val="32"/>
        </w:rPr>
        <w:t>在职称晋升、薪酬待遇、进修学习等方面给予</w:t>
      </w:r>
      <w:r>
        <w:rPr>
          <w:rFonts w:hint="eastAsia" w:ascii="Times New Roman" w:hAnsi="Times New Roman" w:eastAsia="仿宋_GB2312" w:cs="仿宋_GB2312"/>
          <w:color w:val="auto"/>
          <w:sz w:val="32"/>
          <w:szCs w:val="32"/>
          <w:lang w:val="en-US" w:eastAsia="zh-CN"/>
        </w:rPr>
        <w:t>基层</w:t>
      </w:r>
      <w:r>
        <w:rPr>
          <w:rFonts w:hint="eastAsia" w:ascii="Times New Roman" w:hAnsi="Times New Roman" w:eastAsia="仿宋_GB2312" w:cs="仿宋_GB2312"/>
          <w:color w:val="auto"/>
          <w:sz w:val="32"/>
          <w:szCs w:val="32"/>
        </w:rPr>
        <w:t>优惠政策，提升基层中医药岗位吸引力</w:t>
      </w:r>
      <w:r>
        <w:rPr>
          <w:rFonts w:hint="eastAsia" w:ascii="Times New Roman" w:hAnsi="Times New Roman" w:eastAsia="仿宋_GB2312" w:cs="仿宋_GB2312"/>
          <w:color w:val="auto"/>
          <w:sz w:val="32"/>
          <w:szCs w:val="32"/>
          <w:lang w:eastAsia="zh-CN"/>
        </w:rPr>
        <w:t>。</w:t>
      </w:r>
    </w:p>
    <w:p>
      <w:pPr>
        <w:pStyle w:val="2"/>
        <w:keepNext w:val="0"/>
        <w:keepLines w:val="0"/>
        <w:pageBreakBefore w:val="0"/>
        <w:widowControl w:val="0"/>
        <w:kinsoku/>
        <w:wordWrap w:val="0"/>
        <w:overflowPunct/>
        <w:topLinePunct/>
        <w:autoSpaceDE/>
        <w:autoSpaceDN/>
        <w:bidi w:val="0"/>
        <w:adjustRightInd/>
        <w:snapToGrid/>
        <w:spacing w:line="560" w:lineRule="exact"/>
        <w:ind w:left="0" w:leftChars="0" w:firstLine="640" w:firstLineChars="200"/>
        <w:jc w:val="both"/>
        <w:textAlignment w:val="auto"/>
        <w:rPr>
          <w:rFonts w:hint="eastAsia" w:ascii="Times New Roman" w:hAnsi="Times New Roman" w:eastAsia="仿宋_GB2312"/>
          <w:lang w:eastAsia="zh-CN"/>
        </w:rPr>
      </w:pPr>
      <w:r>
        <w:rPr>
          <w:rFonts w:hint="eastAsia" w:ascii="楷体_GB2312" w:hAnsi="楷体_GB2312" w:eastAsia="楷体_GB2312" w:cs="楷体_GB2312"/>
          <w:bCs/>
          <w:color w:val="auto"/>
          <w:sz w:val="32"/>
          <w:szCs w:val="32"/>
        </w:rPr>
        <w:t>（三）推广基层中医药适宜技术</w:t>
      </w:r>
      <w:r>
        <w:rPr>
          <w:rFonts w:hint="eastAsia" w:ascii="楷体_GB2312" w:hAnsi="楷体_GB2312" w:eastAsia="楷体_GB2312" w:cs="楷体_GB2312"/>
          <w:bCs/>
          <w:color w:val="auto"/>
          <w:sz w:val="32"/>
          <w:szCs w:val="32"/>
          <w:lang w:eastAsia="zh-CN"/>
        </w:rPr>
        <w:t>。</w:t>
      </w:r>
      <w:r>
        <w:rPr>
          <w:rFonts w:hint="eastAsia" w:ascii="Times New Roman" w:hAnsi="Times New Roman" w:eastAsia="仿宋_GB2312" w:cs="仿宋_GB2312"/>
          <w:b/>
          <w:bCs w:val="0"/>
          <w:color w:val="auto"/>
          <w:sz w:val="32"/>
          <w:szCs w:val="32"/>
          <w:lang w:val="en-US" w:eastAsia="zh-CN"/>
        </w:rPr>
        <w:t>一是</w:t>
      </w:r>
      <w:r>
        <w:rPr>
          <w:rFonts w:hint="eastAsia" w:ascii="Times New Roman" w:hAnsi="Times New Roman" w:eastAsia="仿宋_GB2312" w:cs="仿宋_GB2312"/>
          <w:bCs/>
          <w:color w:val="auto"/>
          <w:sz w:val="32"/>
          <w:szCs w:val="32"/>
        </w:rPr>
        <w:t>依托</w:t>
      </w:r>
      <w:r>
        <w:rPr>
          <w:rFonts w:hint="eastAsia" w:ascii="Times New Roman" w:hAnsi="Times New Roman" w:eastAsia="仿宋_GB2312" w:cs="仿宋_GB2312"/>
          <w:bCs/>
          <w:color w:val="auto"/>
          <w:sz w:val="32"/>
          <w:szCs w:val="32"/>
          <w:lang w:val="en-US" w:eastAsia="zh-CN"/>
        </w:rPr>
        <w:t>越秀区中医医院</w:t>
      </w:r>
      <w:r>
        <w:rPr>
          <w:rFonts w:hint="eastAsia" w:ascii="Times New Roman" w:hAnsi="Times New Roman" w:eastAsia="仿宋_GB2312" w:cs="仿宋_GB2312"/>
          <w:bCs/>
          <w:color w:val="auto"/>
          <w:sz w:val="32"/>
          <w:szCs w:val="32"/>
        </w:rPr>
        <w:t>建立</w:t>
      </w:r>
      <w:r>
        <w:rPr>
          <w:rFonts w:hint="eastAsia" w:ascii="Times New Roman" w:hAnsi="Times New Roman" w:eastAsia="仿宋_GB2312" w:cs="仿宋_GB2312"/>
          <w:bCs/>
          <w:color w:val="auto"/>
          <w:sz w:val="32"/>
          <w:szCs w:val="32"/>
          <w:lang w:val="en-US" w:eastAsia="zh-CN"/>
        </w:rPr>
        <w:t>越秀区</w:t>
      </w:r>
      <w:r>
        <w:rPr>
          <w:rFonts w:hint="eastAsia" w:ascii="Times New Roman" w:hAnsi="Times New Roman" w:eastAsia="仿宋_GB2312" w:cs="仿宋_GB2312"/>
          <w:bCs/>
          <w:color w:val="auto"/>
          <w:sz w:val="32"/>
          <w:szCs w:val="32"/>
        </w:rPr>
        <w:t>中医药适宜技术推广基地</w:t>
      </w:r>
      <w:r>
        <w:rPr>
          <w:rFonts w:hint="eastAsia" w:ascii="Times New Roman" w:hAnsi="Times New Roman" w:eastAsia="仿宋_GB2312" w:cs="仿宋_GB2312"/>
          <w:bCs/>
          <w:color w:val="auto"/>
          <w:sz w:val="32"/>
          <w:szCs w:val="32"/>
          <w:lang w:eastAsia="zh-CN"/>
        </w:rPr>
        <w:t>，</w:t>
      </w:r>
      <w:r>
        <w:rPr>
          <w:rFonts w:hint="eastAsia" w:ascii="Times New Roman" w:hAnsi="Times New Roman" w:eastAsia="仿宋_GB2312" w:cs="仿宋_GB2312"/>
          <w:color w:val="auto"/>
          <w:sz w:val="32"/>
          <w:szCs w:val="32"/>
        </w:rPr>
        <w:t>向</w:t>
      </w:r>
      <w:r>
        <w:rPr>
          <w:rFonts w:hint="eastAsia" w:ascii="Times New Roman" w:hAnsi="Times New Roman" w:eastAsia="仿宋_GB2312" w:cs="仿宋_GB2312"/>
          <w:color w:val="auto"/>
          <w:sz w:val="32"/>
          <w:szCs w:val="32"/>
          <w:lang w:val="en-US" w:eastAsia="zh-CN"/>
        </w:rPr>
        <w:t>社区卫生服务中心</w:t>
      </w:r>
      <w:r>
        <w:rPr>
          <w:rFonts w:hint="eastAsia" w:ascii="Times New Roman" w:hAnsi="Times New Roman" w:eastAsia="仿宋_GB2312" w:cs="仿宋_GB2312"/>
          <w:color w:val="auto"/>
          <w:sz w:val="32"/>
          <w:szCs w:val="32"/>
        </w:rPr>
        <w:t>推广</w:t>
      </w:r>
      <w:r>
        <w:rPr>
          <w:rFonts w:ascii="Times New Roman" w:hAnsi="Times New Roman" w:eastAsia="仿宋_GB2312" w:cs="仿宋_GB2312"/>
          <w:color w:val="auto"/>
          <w:sz w:val="32"/>
          <w:szCs w:val="32"/>
        </w:rPr>
        <w:t>10</w:t>
      </w:r>
      <w:r>
        <w:rPr>
          <w:rFonts w:hint="eastAsia" w:ascii="Times New Roman" w:hAnsi="Times New Roman" w:eastAsia="仿宋_GB2312" w:cs="仿宋_GB2312"/>
          <w:color w:val="auto"/>
          <w:sz w:val="32"/>
          <w:szCs w:val="32"/>
        </w:rPr>
        <w:t>类</w:t>
      </w:r>
      <w:r>
        <w:rPr>
          <w:rFonts w:ascii="Times New Roman" w:hAnsi="Times New Roman" w:eastAsia="仿宋_GB2312" w:cs="仿宋_GB2312"/>
          <w:color w:val="auto"/>
          <w:sz w:val="32"/>
          <w:szCs w:val="32"/>
        </w:rPr>
        <w:t>50</w:t>
      </w:r>
      <w:r>
        <w:rPr>
          <w:rFonts w:hint="eastAsia" w:ascii="Times New Roman" w:hAnsi="Times New Roman" w:eastAsia="仿宋_GB2312" w:cs="仿宋_GB2312"/>
          <w:color w:val="auto"/>
          <w:sz w:val="32"/>
          <w:szCs w:val="32"/>
        </w:rPr>
        <w:t>项以上中医药适宜技术</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b/>
          <w:bCs/>
          <w:color w:val="auto"/>
          <w:sz w:val="32"/>
          <w:szCs w:val="32"/>
          <w:lang w:val="en-US" w:eastAsia="zh-CN"/>
        </w:rPr>
        <w:t>二是</w:t>
      </w:r>
      <w:r>
        <w:rPr>
          <w:rFonts w:hint="eastAsia" w:ascii="Times New Roman" w:hAnsi="Times New Roman" w:eastAsia="仿宋_GB2312" w:cs="仿宋_GB2312"/>
          <w:color w:val="auto"/>
          <w:sz w:val="32"/>
          <w:szCs w:val="32"/>
        </w:rPr>
        <w:t>社区卫生服务中心能够按照中医药技术操作规范开展</w:t>
      </w:r>
      <w:r>
        <w:rPr>
          <w:rFonts w:ascii="Times New Roman" w:hAnsi="Times New Roman" w:eastAsia="仿宋_GB2312" w:cs="仿宋_GB2312"/>
          <w:color w:val="auto"/>
          <w:sz w:val="32"/>
          <w:szCs w:val="32"/>
        </w:rPr>
        <w:t>6</w:t>
      </w:r>
      <w:r>
        <w:rPr>
          <w:rFonts w:hint="eastAsia" w:ascii="Times New Roman" w:hAnsi="Times New Roman" w:eastAsia="仿宋_GB2312" w:cs="仿宋_GB2312"/>
          <w:color w:val="auto"/>
          <w:sz w:val="32"/>
          <w:szCs w:val="32"/>
        </w:rPr>
        <w:t>类</w:t>
      </w:r>
      <w:r>
        <w:rPr>
          <w:rFonts w:ascii="Times New Roman" w:hAnsi="Times New Roman" w:eastAsia="仿宋_GB2312" w:cs="仿宋_GB2312"/>
          <w:color w:val="auto"/>
          <w:sz w:val="32"/>
          <w:szCs w:val="32"/>
        </w:rPr>
        <w:t>15</w:t>
      </w:r>
      <w:r>
        <w:rPr>
          <w:rFonts w:hint="eastAsia" w:ascii="Times New Roman" w:hAnsi="Times New Roman" w:eastAsia="仿宋_GB2312" w:cs="仿宋_GB2312"/>
          <w:color w:val="auto"/>
          <w:sz w:val="32"/>
          <w:szCs w:val="32"/>
        </w:rPr>
        <w:t>项以上中医药适宜技术</w:t>
      </w:r>
      <w:r>
        <w:rPr>
          <w:rFonts w:hint="eastAsia" w:ascii="Times New Roman" w:hAnsi="Times New Roman" w:eastAsia="仿宋_GB2312" w:cs="仿宋_GB2312"/>
          <w:color w:val="auto"/>
          <w:sz w:val="32"/>
          <w:szCs w:val="32"/>
          <w:lang w:eastAsia="zh-CN"/>
        </w:rPr>
        <w:t>。</w:t>
      </w:r>
    </w:p>
    <w:p>
      <w:pPr>
        <w:keepNext w:val="0"/>
        <w:keepLines w:val="0"/>
        <w:pageBreakBefore w:val="0"/>
        <w:widowControl w:val="0"/>
        <w:kinsoku/>
        <w:wordWrap w:val="0"/>
        <w:overflowPunct/>
        <w:topLinePunct/>
        <w:autoSpaceDE/>
        <w:autoSpaceDN/>
        <w:bidi w:val="0"/>
        <w:adjustRightInd/>
        <w:snapToGrid/>
        <w:spacing w:line="560" w:lineRule="exact"/>
        <w:ind w:left="0" w:leftChars="0" w:firstLine="640" w:firstLineChars="200"/>
        <w:jc w:val="both"/>
        <w:textAlignment w:val="auto"/>
        <w:rPr>
          <w:rFonts w:hint="eastAsia" w:ascii="Times New Roman" w:hAnsi="Times New Roman" w:eastAsia="仿宋_GB2312" w:cs="仿宋_GB2312"/>
          <w:color w:val="auto"/>
          <w:sz w:val="32"/>
          <w:szCs w:val="32"/>
          <w:lang w:eastAsia="zh-CN"/>
        </w:rPr>
      </w:pPr>
      <w:r>
        <w:rPr>
          <w:rFonts w:hint="eastAsia" w:ascii="楷体_GB2312" w:hAnsi="楷体_GB2312" w:eastAsia="楷体_GB2312" w:cs="楷体_GB2312"/>
          <w:bCs/>
          <w:color w:val="auto"/>
          <w:sz w:val="32"/>
          <w:szCs w:val="32"/>
        </w:rPr>
        <w:t>（四）提升基层中医药服务能力</w:t>
      </w:r>
      <w:r>
        <w:rPr>
          <w:rFonts w:hint="eastAsia" w:ascii="楷体_GB2312" w:hAnsi="楷体_GB2312" w:eastAsia="楷体_GB2312" w:cs="楷体_GB2312"/>
          <w:bCs/>
          <w:color w:val="auto"/>
          <w:sz w:val="32"/>
          <w:szCs w:val="32"/>
          <w:lang w:eastAsia="zh-CN"/>
        </w:rPr>
        <w:t>。</w:t>
      </w:r>
      <w:r>
        <w:rPr>
          <w:rFonts w:hint="eastAsia" w:ascii="Times New Roman" w:hAnsi="Times New Roman" w:eastAsia="仿宋_GB2312" w:cs="仿宋_GB2312"/>
          <w:b/>
          <w:bCs w:val="0"/>
          <w:color w:val="auto"/>
          <w:sz w:val="32"/>
          <w:szCs w:val="32"/>
          <w:lang w:val="en-US" w:eastAsia="zh-CN"/>
        </w:rPr>
        <w:t>一是</w:t>
      </w:r>
      <w:r>
        <w:rPr>
          <w:rFonts w:hint="eastAsia" w:ascii="Times New Roman" w:hAnsi="Times New Roman" w:eastAsia="仿宋_GB2312" w:cs="仿宋_GB2312"/>
          <w:bCs/>
          <w:color w:val="auto"/>
          <w:sz w:val="32"/>
          <w:szCs w:val="32"/>
        </w:rPr>
        <w:t>强化</w:t>
      </w:r>
      <w:r>
        <w:rPr>
          <w:rFonts w:hint="eastAsia" w:ascii="Times New Roman" w:hAnsi="Times New Roman" w:eastAsia="仿宋_GB2312" w:cs="仿宋_GB2312"/>
          <w:bCs/>
          <w:color w:val="auto"/>
          <w:sz w:val="32"/>
          <w:szCs w:val="32"/>
          <w:lang w:val="en-US" w:eastAsia="zh-CN"/>
        </w:rPr>
        <w:t>越秀</w:t>
      </w:r>
      <w:r>
        <w:rPr>
          <w:rFonts w:hint="eastAsia" w:ascii="Times New Roman" w:hAnsi="Times New Roman" w:eastAsia="仿宋_GB2312" w:cs="仿宋_GB2312"/>
          <w:b w:val="0"/>
          <w:bCs w:val="0"/>
          <w:color w:val="auto"/>
          <w:sz w:val="32"/>
          <w:szCs w:val="32"/>
          <w:lang w:val="en-US" w:eastAsia="zh-CN"/>
        </w:rPr>
        <w:t>区中医医院</w:t>
      </w:r>
      <w:r>
        <w:rPr>
          <w:rFonts w:hint="eastAsia" w:ascii="Times New Roman" w:hAnsi="Times New Roman" w:eastAsia="仿宋_GB2312" w:cs="仿宋_GB2312"/>
          <w:bCs/>
          <w:color w:val="auto"/>
          <w:sz w:val="32"/>
          <w:szCs w:val="32"/>
        </w:rPr>
        <w:t>建成</w:t>
      </w:r>
      <w:r>
        <w:rPr>
          <w:rFonts w:ascii="Times New Roman" w:hAnsi="Times New Roman" w:eastAsia="仿宋_GB2312" w:cs="仿宋_GB2312"/>
          <w:bCs/>
          <w:color w:val="auto"/>
          <w:sz w:val="32"/>
          <w:szCs w:val="32"/>
        </w:rPr>
        <w:t>2</w:t>
      </w:r>
      <w:r>
        <w:rPr>
          <w:rFonts w:hint="eastAsia" w:ascii="Times New Roman" w:hAnsi="Times New Roman" w:eastAsia="仿宋_GB2312" w:cs="仿宋_GB2312"/>
          <w:bCs/>
          <w:color w:val="auto"/>
          <w:sz w:val="32"/>
          <w:szCs w:val="32"/>
        </w:rPr>
        <w:t>个中医特色专科和</w:t>
      </w:r>
      <w:r>
        <w:rPr>
          <w:rFonts w:ascii="Times New Roman" w:hAnsi="Times New Roman" w:eastAsia="仿宋_GB2312" w:cs="仿宋_GB2312"/>
          <w:bCs/>
          <w:color w:val="auto"/>
          <w:sz w:val="32"/>
          <w:szCs w:val="32"/>
        </w:rPr>
        <w:t>1</w:t>
      </w:r>
      <w:r>
        <w:rPr>
          <w:rFonts w:hint="eastAsia" w:ascii="Times New Roman" w:hAnsi="Times New Roman" w:eastAsia="仿宋_GB2312" w:cs="仿宋_GB2312"/>
          <w:bCs/>
          <w:color w:val="auto"/>
          <w:sz w:val="32"/>
          <w:szCs w:val="32"/>
        </w:rPr>
        <w:t>个中医药适宜技术推广中心</w:t>
      </w:r>
      <w:r>
        <w:rPr>
          <w:rFonts w:hint="eastAsia" w:ascii="Times New Roman" w:hAnsi="Times New Roman" w:eastAsia="仿宋_GB2312" w:cs="仿宋_GB2312"/>
          <w:bCs/>
          <w:color w:val="auto"/>
          <w:sz w:val="32"/>
          <w:szCs w:val="32"/>
          <w:lang w:eastAsia="zh-CN"/>
        </w:rPr>
        <w:t>，</w:t>
      </w:r>
      <w:r>
        <w:rPr>
          <w:rFonts w:hint="eastAsia" w:ascii="Times New Roman" w:hAnsi="Times New Roman" w:eastAsia="仿宋_GB2312" w:cs="仿宋_GB2312"/>
          <w:color w:val="auto"/>
          <w:sz w:val="32"/>
          <w:szCs w:val="32"/>
        </w:rPr>
        <w:t>达到《县级中医医院医疗服务能力基本标准》</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color w:val="auto"/>
          <w:sz w:val="32"/>
          <w:szCs w:val="32"/>
        </w:rPr>
        <w:t>加强急诊科、呼吸科、感染性疾病科、中医治未病科、临床薄弱专科和医技科室建设</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b/>
          <w:bCs/>
          <w:color w:val="auto"/>
          <w:sz w:val="32"/>
          <w:szCs w:val="32"/>
          <w:lang w:val="en-US" w:eastAsia="zh-CN"/>
        </w:rPr>
        <w:t>二是</w:t>
      </w:r>
      <w:r>
        <w:rPr>
          <w:rFonts w:hint="eastAsia" w:ascii="Times New Roman" w:hAnsi="Times New Roman" w:eastAsia="仿宋_GB2312" w:cs="仿宋_GB2312"/>
          <w:color w:val="auto"/>
          <w:sz w:val="32"/>
          <w:szCs w:val="32"/>
        </w:rPr>
        <w:t>社区卫生服务中心中医诊疗量占同类基层机构诊疗总量稳步提升</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b/>
          <w:bCs/>
          <w:color w:val="auto"/>
          <w:sz w:val="32"/>
          <w:szCs w:val="32"/>
          <w:lang w:val="en-US" w:eastAsia="zh-CN"/>
        </w:rPr>
        <w:t>三是</w:t>
      </w:r>
      <w:r>
        <w:rPr>
          <w:rFonts w:hint="eastAsia" w:ascii="Times New Roman" w:hAnsi="Times New Roman" w:eastAsia="仿宋_GB2312" w:cs="仿宋_GB2312"/>
          <w:color w:val="auto"/>
          <w:sz w:val="32"/>
          <w:szCs w:val="32"/>
          <w:lang w:val="en-US" w:eastAsia="zh-CN"/>
        </w:rPr>
        <w:t>越秀区</w:t>
      </w:r>
      <w:r>
        <w:rPr>
          <w:rFonts w:hint="eastAsia" w:ascii="Times New Roman" w:hAnsi="Times New Roman" w:eastAsia="仿宋_GB2312" w:cs="仿宋_GB2312"/>
          <w:color w:val="auto"/>
          <w:sz w:val="32"/>
          <w:szCs w:val="32"/>
        </w:rPr>
        <w:t>中医医院</w:t>
      </w:r>
      <w:r>
        <w:rPr>
          <w:rFonts w:hint="eastAsia" w:ascii="Times New Roman" w:hAnsi="Times New Roman" w:eastAsia="仿宋_GB2312" w:cs="仿宋_GB2312"/>
          <w:i w:val="0"/>
          <w:iCs w:val="0"/>
          <w:caps w:val="0"/>
          <w:color w:val="auto"/>
          <w:spacing w:val="0"/>
          <w:sz w:val="32"/>
          <w:szCs w:val="32"/>
          <w:shd w:val="clear" w:color="auto" w:fill="FFFFFF"/>
        </w:rPr>
        <w:t>治未病科</w:t>
      </w:r>
      <w:r>
        <w:rPr>
          <w:rFonts w:hint="eastAsia" w:ascii="Times New Roman" w:hAnsi="Times New Roman" w:eastAsia="仿宋_GB2312" w:cs="仿宋_GB2312"/>
          <w:i w:val="0"/>
          <w:iCs w:val="0"/>
          <w:caps w:val="0"/>
          <w:color w:val="auto"/>
          <w:spacing w:val="0"/>
          <w:sz w:val="32"/>
          <w:szCs w:val="32"/>
          <w:shd w:val="clear" w:color="auto" w:fill="FFFFFF"/>
          <w:lang w:val="en-US" w:eastAsia="zh-CN"/>
        </w:rPr>
        <w:t>争</w:t>
      </w:r>
      <w:r>
        <w:rPr>
          <w:rFonts w:hint="eastAsia" w:ascii="Times New Roman" w:hAnsi="Times New Roman" w:eastAsia="仿宋_GB2312" w:cs="仿宋_GB2312"/>
          <w:b w:val="0"/>
          <w:bCs w:val="0"/>
          <w:i w:val="0"/>
          <w:iCs w:val="0"/>
          <w:caps w:val="0"/>
          <w:color w:val="auto"/>
          <w:spacing w:val="0"/>
          <w:sz w:val="32"/>
          <w:szCs w:val="32"/>
          <w:shd w:val="clear" w:color="auto" w:fill="FFFFFF"/>
          <w:lang w:val="en-US" w:eastAsia="zh-CN"/>
        </w:rPr>
        <w:t>取</w:t>
      </w:r>
      <w:r>
        <w:rPr>
          <w:rFonts w:hint="eastAsia" w:ascii="Times New Roman" w:hAnsi="Times New Roman" w:eastAsia="仿宋_GB2312" w:cs="仿宋_GB2312"/>
          <w:b w:val="0"/>
          <w:bCs w:val="0"/>
          <w:i w:val="0"/>
          <w:iCs w:val="0"/>
          <w:caps w:val="0"/>
          <w:color w:val="auto"/>
          <w:spacing w:val="0"/>
          <w:sz w:val="32"/>
          <w:szCs w:val="32"/>
          <w:shd w:val="clear" w:color="auto" w:fill="FFFFFF"/>
        </w:rPr>
        <w:t>达到</w:t>
      </w:r>
      <w:r>
        <w:rPr>
          <w:rFonts w:hint="eastAsia" w:ascii="Times New Roman" w:hAnsi="Times New Roman" w:eastAsia="仿宋_GB2312" w:cs="仿宋_GB2312"/>
          <w:b w:val="0"/>
          <w:bCs w:val="0"/>
          <w:color w:val="auto"/>
          <w:kern w:val="0"/>
          <w:sz w:val="32"/>
          <w:szCs w:val="32"/>
          <w:lang w:bidi="ar"/>
        </w:rPr>
        <w:t>广东省</w:t>
      </w:r>
      <w:r>
        <w:rPr>
          <w:rFonts w:hint="eastAsia" w:ascii="Times New Roman" w:hAnsi="Times New Roman" w:eastAsia="仿宋_GB2312" w:cs="仿宋_GB2312"/>
          <w:b w:val="0"/>
          <w:bCs w:val="0"/>
          <w:color w:val="auto"/>
          <w:kern w:val="0"/>
          <w:sz w:val="32"/>
          <w:szCs w:val="32"/>
          <w:lang w:eastAsia="zh-CN" w:bidi="ar"/>
        </w:rPr>
        <w:t>医疗机构</w:t>
      </w:r>
      <w:r>
        <w:rPr>
          <w:rFonts w:hint="eastAsia" w:ascii="Times New Roman" w:hAnsi="Times New Roman" w:eastAsia="仿宋_GB2312" w:cs="仿宋_GB2312"/>
          <w:b w:val="0"/>
          <w:bCs w:val="0"/>
          <w:color w:val="auto"/>
          <w:kern w:val="0"/>
          <w:sz w:val="32"/>
          <w:szCs w:val="32"/>
          <w:lang w:bidi="ar"/>
        </w:rPr>
        <w:t>中医治未病服务</w:t>
      </w:r>
      <w:r>
        <w:rPr>
          <w:rFonts w:hint="eastAsia" w:ascii="Times New Roman" w:hAnsi="Times New Roman" w:eastAsia="仿宋_GB2312" w:cs="仿宋_GB2312"/>
          <w:b w:val="0"/>
          <w:bCs w:val="0"/>
          <w:i w:val="0"/>
          <w:iCs w:val="0"/>
          <w:caps w:val="0"/>
          <w:color w:val="auto"/>
          <w:spacing w:val="0"/>
          <w:sz w:val="32"/>
          <w:szCs w:val="32"/>
          <w:shd w:val="clear" w:color="auto" w:fill="FFFFFF"/>
        </w:rPr>
        <w:t>3A级</w:t>
      </w:r>
      <w:r>
        <w:rPr>
          <w:rFonts w:hint="eastAsia" w:ascii="Times New Roman" w:hAnsi="Times New Roman" w:eastAsia="仿宋_GB2312" w:cs="仿宋_GB2312"/>
          <w:color w:val="auto"/>
          <w:sz w:val="32"/>
          <w:szCs w:val="32"/>
        </w:rPr>
        <w:t>，加强二级以上中医医院老年病科与康复科建设，提高中医康复和老年健康服务能力</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b/>
          <w:bCs/>
          <w:color w:val="auto"/>
          <w:sz w:val="32"/>
          <w:szCs w:val="32"/>
          <w:lang w:val="en-US" w:eastAsia="zh-CN"/>
        </w:rPr>
        <w:t>四是</w:t>
      </w:r>
      <w:r>
        <w:rPr>
          <w:rFonts w:hint="eastAsia" w:ascii="Times New Roman" w:hAnsi="Times New Roman" w:eastAsia="仿宋_GB2312" w:cs="仿宋_GB2312"/>
          <w:color w:val="auto"/>
          <w:sz w:val="32"/>
          <w:szCs w:val="32"/>
        </w:rPr>
        <w:t>围绕儿童、老人、慢病管理等，加强中医药健康管理服务规范和技术规范的培训和指导，推广应用</w:t>
      </w:r>
      <w:r>
        <w:rPr>
          <w:rFonts w:hint="eastAsia" w:ascii="Times New Roman" w:hAnsi="Times New Roman" w:eastAsia="仿宋_GB2312" w:cs="仿宋_GB2312"/>
          <w:color w:val="auto"/>
          <w:sz w:val="32"/>
          <w:szCs w:val="32"/>
          <w:lang w:val="en-US" w:eastAsia="zh-CN"/>
        </w:rPr>
        <w:t>越秀区</w:t>
      </w:r>
      <w:r>
        <w:rPr>
          <w:rFonts w:hint="eastAsia" w:ascii="Times New Roman" w:hAnsi="Times New Roman" w:eastAsia="仿宋_GB2312" w:cs="仿宋_GB2312"/>
          <w:color w:val="auto"/>
          <w:sz w:val="32"/>
          <w:szCs w:val="32"/>
        </w:rPr>
        <w:t>家庭医生中医药签约服务包</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color w:val="auto"/>
          <w:sz w:val="32"/>
          <w:szCs w:val="32"/>
        </w:rPr>
        <w:t>老年人和儿童中医药健康管理率分别达到</w:t>
      </w:r>
      <w:r>
        <w:rPr>
          <w:rFonts w:ascii="Times New Roman" w:hAnsi="Times New Roman" w:eastAsia="仿宋_GB2312" w:cs="仿宋_GB2312"/>
          <w:color w:val="auto"/>
          <w:sz w:val="32"/>
          <w:szCs w:val="32"/>
        </w:rPr>
        <w:t>75%</w:t>
      </w:r>
      <w:r>
        <w:rPr>
          <w:rFonts w:hint="eastAsia" w:ascii="Times New Roman" w:hAnsi="Times New Roman" w:eastAsia="仿宋_GB2312" w:cs="仿宋_GB2312"/>
          <w:color w:val="auto"/>
          <w:sz w:val="32"/>
          <w:szCs w:val="32"/>
        </w:rPr>
        <w:t>和</w:t>
      </w:r>
      <w:r>
        <w:rPr>
          <w:rFonts w:ascii="Times New Roman" w:hAnsi="Times New Roman" w:eastAsia="仿宋_GB2312" w:cs="仿宋_GB2312"/>
          <w:color w:val="auto"/>
          <w:sz w:val="32"/>
          <w:szCs w:val="32"/>
        </w:rPr>
        <w:t>85%</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b/>
          <w:bCs w:val="0"/>
          <w:color w:val="auto"/>
          <w:sz w:val="32"/>
          <w:szCs w:val="32"/>
          <w:lang w:val="en-US" w:eastAsia="zh-CN"/>
        </w:rPr>
        <w:t>五是</w:t>
      </w:r>
      <w:r>
        <w:rPr>
          <w:rFonts w:hint="eastAsia" w:ascii="Times New Roman" w:hAnsi="Times New Roman" w:eastAsia="仿宋_GB2312" w:cs="仿宋_GB2312"/>
          <w:bCs/>
          <w:color w:val="auto"/>
          <w:sz w:val="32"/>
          <w:szCs w:val="32"/>
        </w:rPr>
        <w:t>落实乡村振兴政策与医疗卫生人才“组团式”紧密型帮扶工作相关内容要求，</w:t>
      </w:r>
      <w:r>
        <w:rPr>
          <w:rFonts w:hint="eastAsia" w:ascii="Times New Roman" w:hAnsi="Times New Roman" w:eastAsia="仿宋_GB2312" w:cs="仿宋_GB2312"/>
          <w:color w:val="auto"/>
          <w:sz w:val="32"/>
          <w:szCs w:val="32"/>
        </w:rPr>
        <w:t>对口支援乡镇卫生院建设</w:t>
      </w:r>
      <w:r>
        <w:rPr>
          <w:rFonts w:hint="eastAsia" w:ascii="Times New Roman" w:hAnsi="Times New Roman" w:eastAsia="仿宋_GB2312" w:cs="仿宋_GB2312"/>
          <w:color w:val="auto"/>
          <w:sz w:val="32"/>
          <w:szCs w:val="32"/>
          <w:lang w:eastAsia="zh-CN"/>
        </w:rPr>
        <w:t>。</w:t>
      </w:r>
    </w:p>
    <w:p>
      <w:pPr>
        <w:keepNext w:val="0"/>
        <w:keepLines w:val="0"/>
        <w:pageBreakBefore w:val="0"/>
        <w:widowControl w:val="0"/>
        <w:kinsoku/>
        <w:wordWrap w:val="0"/>
        <w:overflowPunct/>
        <w:topLinePunct/>
        <w:autoSpaceDE/>
        <w:autoSpaceDN/>
        <w:bidi w:val="0"/>
        <w:adjustRightInd/>
        <w:snapToGrid/>
        <w:spacing w:line="560" w:lineRule="exact"/>
        <w:ind w:left="0" w:leftChars="0" w:firstLine="640" w:firstLineChars="200"/>
        <w:jc w:val="both"/>
        <w:textAlignment w:val="auto"/>
        <w:rPr>
          <w:rFonts w:hint="eastAsia" w:ascii="Times New Roman" w:hAnsi="Times New Roman" w:eastAsia="仿宋_GB2312" w:cs="仿宋_GB2312"/>
          <w:color w:val="auto"/>
          <w:sz w:val="32"/>
          <w:szCs w:val="32"/>
          <w:lang w:eastAsia="zh-CN"/>
        </w:rPr>
      </w:pPr>
      <w:r>
        <w:rPr>
          <w:rFonts w:hint="eastAsia" w:ascii="楷体_GB2312" w:hAnsi="楷体_GB2312" w:eastAsia="楷体_GB2312" w:cs="楷体_GB2312"/>
          <w:bCs/>
          <w:color w:val="auto"/>
          <w:sz w:val="32"/>
          <w:szCs w:val="32"/>
        </w:rPr>
        <w:t>（五）增强基层中医药管理能力</w:t>
      </w:r>
      <w:r>
        <w:rPr>
          <w:rFonts w:hint="eastAsia" w:ascii="楷体_GB2312" w:hAnsi="楷体_GB2312" w:eastAsia="楷体_GB2312" w:cs="楷体_GB2312"/>
          <w:bCs/>
          <w:color w:val="auto"/>
          <w:sz w:val="32"/>
          <w:szCs w:val="32"/>
          <w:lang w:eastAsia="zh-CN"/>
        </w:rPr>
        <w:t>。</w:t>
      </w:r>
      <w:r>
        <w:rPr>
          <w:rFonts w:hint="eastAsia" w:ascii="Times New Roman" w:hAnsi="Times New Roman" w:eastAsia="仿宋_GB2312" w:cs="仿宋_GB2312"/>
          <w:b/>
          <w:bCs/>
          <w:color w:val="auto"/>
          <w:sz w:val="32"/>
          <w:szCs w:val="32"/>
          <w:lang w:val="en-US" w:eastAsia="zh-CN"/>
        </w:rPr>
        <w:t>一是</w:t>
      </w:r>
      <w:r>
        <w:rPr>
          <w:rFonts w:hint="eastAsia" w:ascii="Times New Roman" w:hAnsi="Times New Roman" w:eastAsia="仿宋_GB2312" w:cs="仿宋_GB2312"/>
          <w:color w:val="auto"/>
          <w:sz w:val="32"/>
          <w:szCs w:val="32"/>
        </w:rPr>
        <w:t>开展基层医疗卫生机构绩效考核，强化中医药服务质量的评估和监管</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b/>
          <w:bCs/>
          <w:color w:val="auto"/>
          <w:sz w:val="32"/>
          <w:szCs w:val="32"/>
          <w:lang w:val="en-US" w:eastAsia="zh-CN"/>
        </w:rPr>
        <w:t>二是</w:t>
      </w:r>
      <w:r>
        <w:rPr>
          <w:rFonts w:hint="eastAsia" w:ascii="Times New Roman" w:hAnsi="Times New Roman" w:eastAsia="仿宋_GB2312" w:cs="仿宋_GB2312"/>
          <w:color w:val="auto"/>
          <w:sz w:val="32"/>
          <w:szCs w:val="32"/>
        </w:rPr>
        <w:t>提升基层医疗卫生机构中医药信息化水平</w:t>
      </w:r>
      <w:r>
        <w:rPr>
          <w:rFonts w:hint="eastAsia" w:ascii="Times New Roman" w:hAnsi="Times New Roman" w:eastAsia="仿宋_GB2312" w:cs="仿宋_GB2312"/>
          <w:color w:val="auto"/>
          <w:sz w:val="32"/>
          <w:szCs w:val="32"/>
          <w:lang w:eastAsia="zh-CN"/>
        </w:rPr>
        <w:t>。</w:t>
      </w:r>
    </w:p>
    <w:p>
      <w:pPr>
        <w:keepNext w:val="0"/>
        <w:keepLines w:val="0"/>
        <w:pageBreakBefore w:val="0"/>
        <w:widowControl w:val="0"/>
        <w:kinsoku/>
        <w:wordWrap w:val="0"/>
        <w:overflowPunct/>
        <w:topLinePunct/>
        <w:autoSpaceDE/>
        <w:autoSpaceDN/>
        <w:bidi w:val="0"/>
        <w:adjustRightInd/>
        <w:snapToGrid/>
        <w:spacing w:line="560" w:lineRule="exact"/>
        <w:ind w:left="0" w:leftChars="0" w:firstLine="640" w:firstLineChars="200"/>
        <w:jc w:val="both"/>
        <w:textAlignment w:val="auto"/>
        <w:rPr>
          <w:rFonts w:hint="eastAsia" w:ascii="Times New Roman" w:hAnsi="Times New Roman" w:eastAsia="仿宋_GB2312" w:cs="仿宋_GB2312"/>
          <w:color w:val="auto"/>
          <w:sz w:val="32"/>
          <w:szCs w:val="32"/>
          <w:lang w:eastAsia="zh-CN"/>
        </w:rPr>
      </w:pPr>
      <w:r>
        <w:rPr>
          <w:rFonts w:hint="eastAsia" w:ascii="楷体_GB2312" w:hAnsi="楷体_GB2312" w:eastAsia="楷体_GB2312" w:cs="楷体_GB2312"/>
          <w:bCs/>
          <w:color w:val="auto"/>
          <w:sz w:val="32"/>
          <w:szCs w:val="32"/>
          <w:lang w:eastAsia="zh-CN"/>
        </w:rPr>
        <w:t>（</w:t>
      </w:r>
      <w:r>
        <w:rPr>
          <w:rFonts w:hint="eastAsia" w:ascii="楷体_GB2312" w:hAnsi="楷体_GB2312" w:eastAsia="楷体_GB2312" w:cs="楷体_GB2312"/>
          <w:bCs/>
          <w:color w:val="auto"/>
          <w:sz w:val="32"/>
          <w:szCs w:val="32"/>
        </w:rPr>
        <w:t>六</w:t>
      </w:r>
      <w:r>
        <w:rPr>
          <w:rFonts w:hint="eastAsia" w:ascii="楷体_GB2312" w:hAnsi="楷体_GB2312" w:eastAsia="楷体_GB2312" w:cs="楷体_GB2312"/>
          <w:bCs/>
          <w:color w:val="auto"/>
          <w:sz w:val="32"/>
          <w:szCs w:val="32"/>
          <w:lang w:eastAsia="zh-CN"/>
        </w:rPr>
        <w:t>）</w:t>
      </w:r>
      <w:r>
        <w:rPr>
          <w:rFonts w:hint="eastAsia" w:ascii="楷体_GB2312" w:hAnsi="楷体_GB2312" w:eastAsia="楷体_GB2312" w:cs="楷体_GB2312"/>
          <w:bCs/>
          <w:color w:val="auto"/>
          <w:sz w:val="32"/>
          <w:szCs w:val="32"/>
        </w:rPr>
        <w:t>深化基层中医药健康宣教和文化建设</w:t>
      </w:r>
      <w:r>
        <w:rPr>
          <w:rFonts w:hint="eastAsia" w:ascii="楷体_GB2312" w:hAnsi="楷体_GB2312" w:eastAsia="楷体_GB2312" w:cs="楷体_GB2312"/>
          <w:bCs/>
          <w:color w:val="auto"/>
          <w:sz w:val="32"/>
          <w:szCs w:val="32"/>
          <w:lang w:eastAsia="zh-CN"/>
        </w:rPr>
        <w:t>。</w:t>
      </w:r>
      <w:r>
        <w:rPr>
          <w:rFonts w:hint="eastAsia" w:ascii="Times New Roman" w:hAnsi="Times New Roman" w:eastAsia="仿宋_GB2312" w:cs="仿宋_GB2312"/>
          <w:b/>
          <w:bCs/>
          <w:color w:val="auto"/>
          <w:sz w:val="32"/>
          <w:szCs w:val="32"/>
          <w:lang w:val="en-US" w:eastAsia="zh-CN"/>
        </w:rPr>
        <w:t>一是</w:t>
      </w:r>
      <w:r>
        <w:rPr>
          <w:rFonts w:ascii="Times New Roman" w:hAnsi="Times New Roman" w:eastAsia="仿宋_GB2312" w:cs="仿宋_GB2312"/>
          <w:color w:val="auto"/>
          <w:sz w:val="32"/>
          <w:szCs w:val="32"/>
        </w:rPr>
        <w:t>依托</w:t>
      </w:r>
      <w:r>
        <w:rPr>
          <w:rFonts w:hint="eastAsia" w:ascii="Times New Roman" w:hAnsi="Times New Roman" w:eastAsia="仿宋_GB2312" w:cs="仿宋_GB2312"/>
          <w:color w:val="auto"/>
          <w:sz w:val="32"/>
          <w:szCs w:val="32"/>
          <w:lang w:val="en-US" w:eastAsia="zh-CN"/>
        </w:rPr>
        <w:t>越秀区中医</w:t>
      </w:r>
      <w:r>
        <w:rPr>
          <w:rFonts w:ascii="Times New Roman" w:hAnsi="Times New Roman" w:eastAsia="仿宋_GB2312" w:cs="仿宋_GB2312"/>
          <w:color w:val="auto"/>
          <w:sz w:val="32"/>
          <w:szCs w:val="32"/>
        </w:rPr>
        <w:t>医院设置中医健康宣教基地</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b/>
          <w:bCs/>
          <w:color w:val="auto"/>
          <w:sz w:val="32"/>
          <w:szCs w:val="32"/>
          <w:lang w:val="en-US" w:eastAsia="zh-CN"/>
        </w:rPr>
        <w:t>二是</w:t>
      </w:r>
      <w:r>
        <w:rPr>
          <w:rFonts w:hint="eastAsia" w:ascii="Times New Roman" w:hAnsi="Times New Roman" w:eastAsia="仿宋_GB2312" w:cs="仿宋_GB2312"/>
          <w:color w:val="auto"/>
          <w:sz w:val="32"/>
          <w:szCs w:val="32"/>
        </w:rPr>
        <w:t>规范建设一批中医药健康宣教基地和中医药文化校园示范学校</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b/>
          <w:bCs/>
          <w:color w:val="auto"/>
          <w:sz w:val="32"/>
          <w:szCs w:val="32"/>
          <w:lang w:val="en-US" w:eastAsia="zh-CN"/>
        </w:rPr>
        <w:t>三是</w:t>
      </w:r>
      <w:r>
        <w:rPr>
          <w:rFonts w:ascii="Times New Roman" w:hAnsi="Times New Roman" w:eastAsia="仿宋_GB2312" w:cs="仿宋_GB2312"/>
          <w:color w:val="auto"/>
          <w:sz w:val="32"/>
          <w:szCs w:val="32"/>
        </w:rPr>
        <w:t>加强中医药科普专家队伍建设</w:t>
      </w:r>
      <w:r>
        <w:rPr>
          <w:rFonts w:hint="eastAsia" w:ascii="Times New Roman" w:hAnsi="Times New Roman" w:eastAsia="仿宋_GB2312" w:cs="仿宋_GB2312"/>
          <w:color w:val="auto"/>
          <w:sz w:val="32"/>
          <w:szCs w:val="32"/>
          <w:lang w:eastAsia="zh-CN"/>
        </w:rPr>
        <w:t>。</w:t>
      </w:r>
    </w:p>
    <w:p>
      <w:pPr>
        <w:keepNext w:val="0"/>
        <w:keepLines w:val="0"/>
        <w:pageBreakBefore w:val="0"/>
        <w:widowControl w:val="0"/>
        <w:kinsoku/>
        <w:wordWrap w:val="0"/>
        <w:overflowPunct/>
        <w:topLinePunct/>
        <w:autoSpaceDE/>
        <w:autoSpaceDN/>
        <w:bidi w:val="0"/>
        <w:adjustRightInd/>
        <w:snapToGrid/>
        <w:spacing w:line="560" w:lineRule="exact"/>
        <w:ind w:left="0" w:leftChars="0" w:firstLine="640" w:firstLineChars="200"/>
        <w:jc w:val="both"/>
        <w:textAlignment w:val="auto"/>
        <w:rPr>
          <w:rFonts w:hint="eastAsia" w:ascii="Times New Roman" w:hAnsi="Times New Roman" w:eastAsia="黑体" w:cs="黑体"/>
          <w:color w:val="auto"/>
          <w:sz w:val="32"/>
          <w:szCs w:val="32"/>
        </w:rPr>
      </w:pPr>
      <w:r>
        <w:rPr>
          <w:rFonts w:hint="eastAsia" w:ascii="楷体_GB2312" w:hAnsi="楷体_GB2312" w:eastAsia="楷体_GB2312" w:cs="楷体_GB2312"/>
          <w:bCs/>
          <w:color w:val="auto"/>
          <w:sz w:val="32"/>
          <w:szCs w:val="32"/>
        </w:rPr>
        <w:t>（七）同步推进基层中医药综合改革</w:t>
      </w:r>
      <w:r>
        <w:rPr>
          <w:rFonts w:hint="eastAsia" w:ascii="楷体_GB2312" w:hAnsi="楷体_GB2312" w:eastAsia="楷体_GB2312" w:cs="楷体_GB2312"/>
          <w:bCs/>
          <w:color w:val="auto"/>
          <w:sz w:val="32"/>
          <w:szCs w:val="32"/>
          <w:lang w:eastAsia="zh-CN"/>
        </w:rPr>
        <w:t>。</w:t>
      </w:r>
      <w:r>
        <w:rPr>
          <w:rFonts w:hint="eastAsia" w:ascii="Times New Roman" w:hAnsi="Times New Roman" w:eastAsia="仿宋_GB2312" w:cs="仿宋_GB2312"/>
          <w:b/>
          <w:bCs w:val="0"/>
          <w:color w:val="auto"/>
          <w:sz w:val="32"/>
          <w:szCs w:val="32"/>
          <w:lang w:val="en-US" w:eastAsia="zh-CN"/>
        </w:rPr>
        <w:t>一是</w:t>
      </w:r>
      <w:r>
        <w:rPr>
          <w:rFonts w:hint="eastAsia" w:ascii="Times New Roman" w:hAnsi="Times New Roman" w:eastAsia="仿宋_GB2312" w:cs="仿宋_GB2312"/>
          <w:b w:val="0"/>
          <w:bCs/>
          <w:color w:val="auto"/>
          <w:sz w:val="32"/>
          <w:szCs w:val="32"/>
          <w:lang w:val="en-US" w:eastAsia="zh-CN"/>
        </w:rPr>
        <w:t>越秀</w:t>
      </w:r>
      <w:r>
        <w:rPr>
          <w:rFonts w:hint="eastAsia" w:ascii="Times New Roman" w:hAnsi="Times New Roman" w:eastAsia="仿宋_GB2312" w:cs="仿宋_GB2312"/>
          <w:color w:val="auto"/>
          <w:sz w:val="32"/>
          <w:szCs w:val="32"/>
          <w:lang w:val="en-US" w:eastAsia="zh-CN"/>
        </w:rPr>
        <w:t>区中医医院</w:t>
      </w:r>
      <w:r>
        <w:rPr>
          <w:rFonts w:hint="eastAsia" w:ascii="Times New Roman" w:hAnsi="Times New Roman" w:eastAsia="仿宋_GB2312" w:cs="仿宋_GB2312"/>
          <w:color w:val="auto"/>
          <w:sz w:val="32"/>
          <w:szCs w:val="32"/>
        </w:rPr>
        <w:t>牵头组建各种形式的医联体</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b/>
          <w:bCs/>
          <w:color w:val="auto"/>
          <w:sz w:val="32"/>
          <w:szCs w:val="32"/>
          <w:lang w:val="en-US" w:eastAsia="zh-CN"/>
        </w:rPr>
        <w:t>二是</w:t>
      </w:r>
      <w:r>
        <w:rPr>
          <w:rFonts w:hint="eastAsia" w:ascii="Times New Roman" w:hAnsi="Times New Roman" w:eastAsia="仿宋_GB2312" w:cs="仿宋_GB2312"/>
          <w:b w:val="0"/>
          <w:bCs/>
          <w:color w:val="auto"/>
          <w:sz w:val="32"/>
          <w:szCs w:val="32"/>
        </w:rPr>
        <w:t>开展全国基层中医药工作示范</w:t>
      </w:r>
      <w:r>
        <w:rPr>
          <w:rFonts w:hint="eastAsia" w:ascii="Times New Roman" w:hAnsi="Times New Roman" w:eastAsia="仿宋_GB2312" w:cs="仿宋_GB2312"/>
          <w:b w:val="0"/>
          <w:bCs/>
          <w:color w:val="auto"/>
          <w:sz w:val="32"/>
          <w:szCs w:val="32"/>
          <w:lang w:val="en-US" w:eastAsia="zh-CN"/>
        </w:rPr>
        <w:t>区</w:t>
      </w:r>
      <w:r>
        <w:rPr>
          <w:rFonts w:hint="eastAsia" w:ascii="Times New Roman" w:hAnsi="Times New Roman" w:eastAsia="仿宋_GB2312" w:cs="仿宋_GB2312"/>
          <w:b w:val="0"/>
          <w:bCs/>
          <w:color w:val="auto"/>
          <w:sz w:val="32"/>
          <w:szCs w:val="32"/>
        </w:rPr>
        <w:t>建设</w:t>
      </w:r>
      <w:r>
        <w:rPr>
          <w:rFonts w:hint="eastAsia" w:ascii="Times New Roman" w:hAnsi="Times New Roman" w:eastAsia="仿宋_GB2312" w:cs="仿宋_GB2312"/>
          <w:b w:val="0"/>
          <w:bCs/>
          <w:color w:val="auto"/>
          <w:sz w:val="32"/>
          <w:szCs w:val="32"/>
          <w:lang w:eastAsia="zh-CN"/>
        </w:rPr>
        <w:t>；</w:t>
      </w:r>
      <w:r>
        <w:rPr>
          <w:rFonts w:hint="eastAsia" w:ascii="Times New Roman" w:hAnsi="Times New Roman" w:eastAsia="仿宋_GB2312" w:cs="仿宋_GB2312"/>
          <w:b/>
          <w:bCs w:val="0"/>
          <w:color w:val="auto"/>
          <w:sz w:val="32"/>
          <w:szCs w:val="32"/>
          <w:lang w:val="en-US" w:eastAsia="zh-CN"/>
        </w:rPr>
        <w:t>三是</w:t>
      </w:r>
      <w:r>
        <w:rPr>
          <w:rFonts w:hint="eastAsia" w:ascii="Times New Roman" w:hAnsi="Times New Roman" w:eastAsia="仿宋_GB2312" w:cs="仿宋_GB2312"/>
          <w:b w:val="0"/>
          <w:bCs/>
          <w:color w:val="auto"/>
          <w:sz w:val="32"/>
          <w:szCs w:val="32"/>
        </w:rPr>
        <w:t>加大医保对基层中医药服务的政策支持</w:t>
      </w:r>
      <w:r>
        <w:rPr>
          <w:rFonts w:hint="eastAsia" w:ascii="Times New Roman" w:hAnsi="Times New Roman" w:eastAsia="仿宋_GB2312" w:cs="仿宋_GB2312"/>
          <w:b w:val="0"/>
          <w:bCs/>
          <w:color w:val="auto"/>
          <w:sz w:val="32"/>
          <w:szCs w:val="32"/>
          <w:lang w:eastAsia="zh-CN"/>
        </w:rPr>
        <w:t>，</w:t>
      </w:r>
      <w:r>
        <w:rPr>
          <w:rFonts w:hint="eastAsia" w:ascii="Times New Roman" w:hAnsi="Times New Roman" w:eastAsia="仿宋_GB2312" w:cs="仿宋_GB2312"/>
          <w:b w:val="0"/>
          <w:bCs/>
          <w:color w:val="auto"/>
          <w:sz w:val="32"/>
          <w:szCs w:val="32"/>
        </w:rPr>
        <w:t>支持将疗效和成本有优势的中医诊疗项目纳入基本医疗保险支付范围</w:t>
      </w:r>
      <w:r>
        <w:rPr>
          <w:rFonts w:hint="eastAsia" w:ascii="Times New Roman" w:hAnsi="Times New Roman" w:eastAsia="仿宋_GB2312" w:cs="仿宋_GB2312"/>
          <w:b w:val="0"/>
          <w:bCs/>
          <w:color w:val="auto"/>
          <w:sz w:val="32"/>
          <w:szCs w:val="32"/>
          <w:lang w:eastAsia="zh-CN"/>
        </w:rPr>
        <w:t>。</w:t>
      </w:r>
    </w:p>
    <w:p>
      <w:pPr>
        <w:keepNext w:val="0"/>
        <w:keepLines w:val="0"/>
        <w:pageBreakBefore w:val="0"/>
        <w:widowControl w:val="0"/>
        <w:kinsoku/>
        <w:wordWrap w:val="0"/>
        <w:overflowPunct/>
        <w:topLinePunct/>
        <w:autoSpaceDE/>
        <w:autoSpaceDN/>
        <w:bidi w:val="0"/>
        <w:adjustRightInd/>
        <w:snapToGrid/>
        <w:spacing w:line="560" w:lineRule="exact"/>
        <w:ind w:left="0" w:leftChars="0" w:firstLine="640" w:firstLineChars="200"/>
        <w:jc w:val="both"/>
        <w:textAlignment w:val="auto"/>
        <w:rPr>
          <w:rFonts w:hint="eastAsia" w:ascii="Times New Roman" w:hAnsi="Times New Roman" w:eastAsia="楷体_GB2312" w:cs="楷体_GB2312"/>
          <w:b/>
          <w:bCs/>
          <w:color w:val="auto"/>
          <w:sz w:val="32"/>
          <w:szCs w:val="32"/>
        </w:rPr>
      </w:pPr>
      <w:r>
        <w:rPr>
          <w:rFonts w:hint="eastAsia" w:ascii="Times New Roman" w:hAnsi="Times New Roman" w:eastAsia="黑体" w:cs="黑体"/>
          <w:color w:val="auto"/>
          <w:sz w:val="32"/>
          <w:szCs w:val="32"/>
          <w:lang w:val="en-US" w:eastAsia="zh-CN"/>
        </w:rPr>
        <w:t>四、</w:t>
      </w:r>
      <w:r>
        <w:rPr>
          <w:rFonts w:hint="eastAsia" w:ascii="Times New Roman" w:hAnsi="Times New Roman" w:eastAsia="黑体" w:cs="黑体"/>
          <w:color w:val="auto"/>
          <w:sz w:val="32"/>
          <w:szCs w:val="32"/>
        </w:rPr>
        <w:t>保障措施</w:t>
      </w:r>
    </w:p>
    <w:p>
      <w:pPr>
        <w:keepNext w:val="0"/>
        <w:keepLines w:val="0"/>
        <w:pageBreakBefore w:val="0"/>
        <w:widowControl w:val="0"/>
        <w:kinsoku/>
        <w:wordWrap w:val="0"/>
        <w:overflowPunct/>
        <w:topLinePunct/>
        <w:autoSpaceDE/>
        <w:autoSpaceDN/>
        <w:bidi w:val="0"/>
        <w:adjustRightInd/>
        <w:snapToGrid/>
        <w:spacing w:line="560" w:lineRule="exact"/>
        <w:ind w:left="0" w:leftChars="0" w:firstLine="640" w:firstLineChars="200"/>
        <w:jc w:val="both"/>
        <w:textAlignment w:val="auto"/>
        <w:rPr>
          <w:rFonts w:hint="eastAsia" w:ascii="楷体_GB2312" w:hAnsi="楷体_GB2312" w:eastAsia="楷体_GB2312" w:cs="楷体_GB2312"/>
          <w:bCs/>
          <w:color w:val="auto"/>
          <w:sz w:val="32"/>
          <w:szCs w:val="32"/>
        </w:rPr>
      </w:pPr>
      <w:r>
        <w:rPr>
          <w:rFonts w:hint="eastAsia" w:ascii="楷体_GB2312" w:hAnsi="楷体_GB2312" w:eastAsia="楷体_GB2312" w:cs="楷体_GB2312"/>
          <w:bCs/>
          <w:color w:val="auto"/>
          <w:sz w:val="32"/>
          <w:szCs w:val="32"/>
        </w:rPr>
        <w:t>（一）加强组织领导。</w:t>
      </w:r>
    </w:p>
    <w:p>
      <w:pPr>
        <w:keepNext w:val="0"/>
        <w:keepLines w:val="0"/>
        <w:pageBreakBefore w:val="0"/>
        <w:widowControl w:val="0"/>
        <w:kinsoku/>
        <w:wordWrap w:val="0"/>
        <w:overflowPunct/>
        <w:topLinePunct/>
        <w:autoSpaceDE/>
        <w:autoSpaceDN/>
        <w:bidi w:val="0"/>
        <w:adjustRightInd/>
        <w:snapToGrid/>
        <w:spacing w:line="560" w:lineRule="exact"/>
        <w:ind w:left="0" w:leftChars="0" w:firstLine="640" w:firstLineChars="200"/>
        <w:jc w:val="both"/>
        <w:textAlignment w:val="auto"/>
        <w:rPr>
          <w:rFonts w:hint="eastAsia" w:ascii="Times New Roman" w:hAnsi="Times New Roman" w:eastAsia="仿宋_GB2312" w:cs="仿宋_GB2312"/>
          <w:color w:val="auto"/>
          <w:sz w:val="32"/>
          <w:szCs w:val="32"/>
          <w:lang w:eastAsia="zh-CN"/>
        </w:rPr>
      </w:pPr>
      <w:r>
        <w:rPr>
          <w:rFonts w:hint="eastAsia" w:ascii="楷体_GB2312" w:hAnsi="楷体_GB2312" w:eastAsia="楷体_GB2312" w:cs="楷体_GB2312"/>
          <w:bCs/>
          <w:color w:val="auto"/>
          <w:sz w:val="32"/>
          <w:szCs w:val="32"/>
        </w:rPr>
        <w:t>（二）明确责任分工。</w:t>
      </w:r>
      <w:r>
        <w:rPr>
          <w:rFonts w:hint="eastAsia" w:ascii="Times New Roman" w:hAnsi="Times New Roman" w:eastAsia="仿宋_GB2312" w:cs="仿宋_GB2312"/>
          <w:color w:val="auto"/>
          <w:sz w:val="32"/>
          <w:szCs w:val="32"/>
        </w:rPr>
        <w:t>卫生健康中医药管理部门统筹协调发展改革、教育、财政、人力资源社会保障、文化和旅游、医疗保障、市场监督管理等部门履行职责，分工协作，密切配合，合力推进方案的实施</w:t>
      </w:r>
      <w:r>
        <w:rPr>
          <w:rFonts w:hint="eastAsia" w:ascii="Times New Roman" w:hAnsi="Times New Roman" w:eastAsia="仿宋_GB2312" w:cs="仿宋_GB2312"/>
          <w:color w:val="auto"/>
          <w:sz w:val="32"/>
          <w:szCs w:val="32"/>
          <w:lang w:eastAsia="zh-CN"/>
        </w:rPr>
        <w:t>。</w:t>
      </w:r>
      <w:bookmarkStart w:id="0" w:name="_GoBack"/>
      <w:bookmarkEnd w:id="0"/>
    </w:p>
    <w:p>
      <w:pPr>
        <w:keepNext w:val="0"/>
        <w:keepLines w:val="0"/>
        <w:pageBreakBefore w:val="0"/>
        <w:widowControl w:val="0"/>
        <w:kinsoku/>
        <w:wordWrap w:val="0"/>
        <w:overflowPunct/>
        <w:topLinePunct/>
        <w:autoSpaceDE/>
        <w:autoSpaceDN/>
        <w:bidi w:val="0"/>
        <w:adjustRightInd/>
        <w:snapToGrid/>
        <w:spacing w:line="560" w:lineRule="exact"/>
        <w:ind w:left="0" w:leftChars="0" w:firstLine="640" w:firstLineChars="200"/>
        <w:jc w:val="both"/>
        <w:textAlignment w:val="auto"/>
        <w:rPr>
          <w:rFonts w:hint="eastAsia" w:ascii="楷体_GB2312" w:hAnsi="楷体_GB2312" w:eastAsia="楷体_GB2312" w:cs="楷体_GB2312"/>
          <w:bCs/>
          <w:color w:val="auto"/>
          <w:sz w:val="32"/>
          <w:szCs w:val="32"/>
        </w:rPr>
      </w:pPr>
      <w:r>
        <w:rPr>
          <w:rFonts w:hint="eastAsia" w:ascii="楷体_GB2312" w:hAnsi="楷体_GB2312" w:eastAsia="楷体_GB2312" w:cs="楷体_GB2312"/>
          <w:bCs/>
          <w:color w:val="auto"/>
          <w:sz w:val="32"/>
          <w:szCs w:val="32"/>
        </w:rPr>
        <w:t>（三）加强考核督查。</w:t>
      </w:r>
    </w:p>
    <w:p>
      <w:pPr>
        <w:keepNext w:val="0"/>
        <w:keepLines w:val="0"/>
        <w:pageBreakBefore w:val="0"/>
        <w:widowControl w:val="0"/>
        <w:kinsoku/>
        <w:wordWrap w:val="0"/>
        <w:overflowPunct/>
        <w:topLinePunct/>
        <w:autoSpaceDE/>
        <w:autoSpaceDN/>
        <w:bidi w:val="0"/>
        <w:adjustRightInd/>
        <w:snapToGrid/>
        <w:spacing w:line="560" w:lineRule="exact"/>
        <w:ind w:left="0" w:leftChars="0" w:firstLine="640" w:firstLineChars="200"/>
        <w:jc w:val="both"/>
        <w:textAlignment w:val="auto"/>
      </w:pPr>
      <w:r>
        <w:rPr>
          <w:rFonts w:hint="eastAsia" w:ascii="楷体_GB2312" w:hAnsi="楷体_GB2312" w:eastAsia="楷体_GB2312" w:cs="楷体_GB2312"/>
          <w:bCs/>
          <w:color w:val="auto"/>
          <w:sz w:val="32"/>
          <w:szCs w:val="32"/>
        </w:rPr>
        <w:t>（四）强化宣传引导。</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B7D2F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2">
    <w:name w:val="_Style 5"/>
    <w:basedOn w:val="1"/>
    <w:qFormat/>
    <w:uiPriority w:val="0"/>
    <w:pPr>
      <w:ind w:firstLine="200" w:firstLineChars="200"/>
    </w:pPr>
    <w:rPr>
      <w:rFonts w:eastAsia="宋体" w:cs="Times New Roman"/>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Office_11.8.2.11716_F1E327BC-269C-435d-A152-05C5408002CA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2023-12-21T10:08:15Z</dcterms:created>
  <dc:creator>wjj-bgs-003</dc:creator>
  <cp:lastModifiedBy>wjj-bgs-003</cp:lastModifiedBy>
  <dcterms:modified xsi:type="dcterms:W3CDTF">2023-12-21T10:24:10Z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2AF01876A70745A294E9EAC51EF9D9D0</vt:lpwstr>
  </property>
</Properties>
</file>